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16919423"/>
        <w:docPartObj>
          <w:docPartGallery w:val="Cover Pages"/>
          <w:docPartUnique/>
        </w:docPartObj>
      </w:sdtPr>
      <w:sdtEndPr>
        <w:rPr>
          <w:rFonts w:ascii="Times New Roman" w:hAnsi="Times New Roman" w:cs="Times New Roman"/>
          <w:b/>
          <w:sz w:val="28"/>
          <w:szCs w:val="28"/>
        </w:rPr>
      </w:sdtEndPr>
      <w:sdtContent>
        <w:p w:rsidR="000C7CE0" w:rsidRDefault="000C7CE0">
          <w:r>
            <w:rPr>
              <w:noProof/>
              <w:lang w:eastAsia="hr-HR"/>
            </w:rPr>
            <mc:AlternateContent>
              <mc:Choice Requires="wps">
                <w:drawing>
                  <wp:anchor distT="0" distB="0" distL="114300" distR="114300" simplePos="0" relativeHeight="251659264" behindDoc="0" locked="0" layoutInCell="1" allowOverlap="1" wp14:anchorId="2435D4CE" wp14:editId="4031A3B9">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10" name="Pravoku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eastAsiaTheme="minorHAnsi" w:hAnsi="Times New Roman" w:cs="Times New Roman"/>
                                    <w:b/>
                                    <w:color w:val="auto"/>
                                    <w:spacing w:val="0"/>
                                    <w:kern w:val="0"/>
                                    <w:sz w:val="40"/>
                                    <w:szCs w:val="40"/>
                                    <w:lang w:eastAsia="en-US"/>
                                  </w:rPr>
                                  <w:alias w:val="Naslov"/>
                                  <w:id w:val="-1070349389"/>
                                  <w:dataBinding w:prefixMappings="xmlns:ns0='http://schemas.openxmlformats.org/package/2006/metadata/core-properties' xmlns:ns1='http://purl.org/dc/elements/1.1/'" w:xpath="/ns0:coreProperties[1]/ns1:title[1]" w:storeItemID="{6C3C8BC8-F283-45AE-878A-BAB7291924A1}"/>
                                  <w:text/>
                                </w:sdtPr>
                                <w:sdtEndPr/>
                                <w:sdtContent>
                                  <w:p w:rsidR="00022BA3" w:rsidRDefault="00022BA3" w:rsidP="000C7CE0">
                                    <w:pPr>
                                      <w:pStyle w:val="Naslov"/>
                                      <w:pBdr>
                                        <w:bottom w:val="none" w:sz="0" w:space="0" w:color="auto"/>
                                      </w:pBdr>
                                      <w:jc w:val="right"/>
                                      <w:rPr>
                                        <w:color w:val="FFFFFF" w:themeColor="background1"/>
                                      </w:rPr>
                                    </w:pPr>
                                    <w:r w:rsidRPr="000C7CE0">
                                      <w:rPr>
                                        <w:rFonts w:ascii="Times New Roman" w:eastAsiaTheme="minorHAnsi" w:hAnsi="Times New Roman" w:cs="Times New Roman"/>
                                        <w:b/>
                                        <w:color w:val="auto"/>
                                        <w:spacing w:val="0"/>
                                        <w:kern w:val="0"/>
                                        <w:sz w:val="40"/>
                                        <w:szCs w:val="40"/>
                                        <w:lang w:eastAsia="en-US"/>
                                      </w:rPr>
                                      <w:t>SMJERNICE</w:t>
                                    </w:r>
                                    <w:r>
                                      <w:rPr>
                                        <w:rFonts w:ascii="Times New Roman" w:eastAsiaTheme="minorHAnsi" w:hAnsi="Times New Roman" w:cs="Times New Roman"/>
                                        <w:b/>
                                        <w:color w:val="auto"/>
                                        <w:spacing w:val="0"/>
                                        <w:kern w:val="0"/>
                                        <w:sz w:val="40"/>
                                        <w:szCs w:val="40"/>
                                        <w:lang w:eastAsia="en-US"/>
                                      </w:rPr>
                                      <w:t xml:space="preserve"> </w:t>
                                    </w:r>
                                    <w:r w:rsidRPr="000C7CE0">
                                      <w:rPr>
                                        <w:rFonts w:ascii="Times New Roman" w:eastAsiaTheme="minorHAnsi" w:hAnsi="Times New Roman" w:cs="Times New Roman"/>
                                        <w:b/>
                                        <w:color w:val="auto"/>
                                        <w:spacing w:val="0"/>
                                        <w:kern w:val="0"/>
                                        <w:sz w:val="40"/>
                                        <w:szCs w:val="40"/>
                                        <w:lang w:eastAsia="en-US"/>
                                      </w:rPr>
                                      <w:t>ZA USPOSTAVU STANDARDNIH MATERIJALNIH TROŠKOVA</w:t>
                                    </w:r>
                                    <w:r>
                                      <w:rPr>
                                        <w:rFonts w:ascii="Times New Roman" w:eastAsiaTheme="minorHAnsi" w:hAnsi="Times New Roman" w:cs="Times New Roman"/>
                                        <w:b/>
                                        <w:color w:val="auto"/>
                                        <w:spacing w:val="0"/>
                                        <w:kern w:val="0"/>
                                        <w:sz w:val="40"/>
                                        <w:szCs w:val="40"/>
                                        <w:lang w:eastAsia="en-US"/>
                                      </w:rPr>
                                      <w:t xml:space="preserve"> </w:t>
                                    </w:r>
                                    <w:r w:rsidRPr="000C7CE0">
                                      <w:rPr>
                                        <w:rFonts w:ascii="Times New Roman" w:eastAsiaTheme="minorHAnsi" w:hAnsi="Times New Roman" w:cs="Times New Roman"/>
                                        <w:b/>
                                        <w:color w:val="auto"/>
                                        <w:spacing w:val="0"/>
                                        <w:kern w:val="0"/>
                                        <w:sz w:val="40"/>
                                        <w:szCs w:val="40"/>
                                        <w:lang w:eastAsia="en-US"/>
                                      </w:rPr>
                                      <w:t>KOD PRORAČUNSKIH I IZVANPRORAČUNSKIH KORISNIKA DRŽAVNOG PRORAČUNA</w:t>
                                    </w:r>
                                  </w:p>
                                </w:sdtContent>
                              </w:sdt>
                              <w:sdt>
                                <w:sdtPr>
                                  <w:rPr>
                                    <w:color w:val="FFFFFF" w:themeColor="background1"/>
                                    <w:sz w:val="21"/>
                                    <w:szCs w:val="21"/>
                                  </w:rPr>
                                  <w:alias w:val="Kratki pregled"/>
                                  <w:id w:val="307982498"/>
                                  <w:dataBinding w:prefixMappings="xmlns:ns0='http://schemas.microsoft.com/office/2006/coverPageProps'" w:xpath="/ns0:CoverPageProperties[1]/ns0:Abstract[1]" w:storeItemID="{55AF091B-3C7A-41E3-B477-F2FDAA23CFDA}"/>
                                  <w:text/>
                                </w:sdtPr>
                                <w:sdtEndPr/>
                                <w:sdtContent>
                                  <w:p w:rsidR="00022BA3" w:rsidRDefault="00022BA3">
                                    <w:pPr>
                                      <w:spacing w:before="240"/>
                                      <w:ind w:left="1008"/>
                                      <w:jc w:val="right"/>
                                      <w:rPr>
                                        <w:color w:val="FFFFFF" w:themeColor="background1"/>
                                      </w:rPr>
                                    </w:pPr>
                                    <w:r>
                                      <w:rPr>
                                        <w:color w:val="FFFFFF" w:themeColor="background1"/>
                                        <w:sz w:val="21"/>
                                        <w:szCs w:val="21"/>
                                      </w:rPr>
                                      <w:t>Studeni 2015.</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Pravokutnik 10"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" fillcolor="#4f81bd [3204]" stroked="f" strokeweight="2pt">
                    <v:path arrowok="t"/>
                    <v:textbox inset="21.6pt,1in,21.6pt">
                      <w:txbxContent>
                        <w:sdt>
                          <w:sdtPr>
                            <w:rPr>
                              <w:rFonts w:ascii="Times New Roman" w:eastAsiaTheme="minorHAnsi" w:hAnsi="Times New Roman" w:cs="Times New Roman"/>
                              <w:b/>
                              <w:color w:val="auto"/>
                              <w:spacing w:val="0"/>
                              <w:kern w:val="0"/>
                              <w:sz w:val="40"/>
                              <w:szCs w:val="40"/>
                              <w:lang w:eastAsia="en-US"/>
                            </w:rPr>
                            <w:alias w:val="Naslov"/>
                            <w:id w:val="-1070349389"/>
                            <w:dataBinding w:prefixMappings="xmlns:ns0='http://schemas.openxmlformats.org/package/2006/metadata/core-properties' xmlns:ns1='http://purl.org/dc/elements/1.1/'" w:xpath="/ns0:coreProperties[1]/ns1:title[1]" w:storeItemID="{6C3C8BC8-F283-45AE-878A-BAB7291924A1}"/>
                            <w:text/>
                          </w:sdtPr>
                          <w:sdtContent>
                            <w:p w:rsidR="00022BA3" w:rsidRDefault="00022BA3" w:rsidP="000C7CE0">
                              <w:pPr>
                                <w:pStyle w:val="Naslov"/>
                                <w:pBdr>
                                  <w:bottom w:val="none" w:sz="0" w:space="0" w:color="auto"/>
                                </w:pBdr>
                                <w:jc w:val="right"/>
                                <w:rPr>
                                  <w:color w:val="FFFFFF" w:themeColor="background1"/>
                                </w:rPr>
                              </w:pPr>
                              <w:r w:rsidRPr="000C7CE0">
                                <w:rPr>
                                  <w:rFonts w:ascii="Times New Roman" w:eastAsiaTheme="minorHAnsi" w:hAnsi="Times New Roman" w:cs="Times New Roman"/>
                                  <w:b/>
                                  <w:color w:val="auto"/>
                                  <w:spacing w:val="0"/>
                                  <w:kern w:val="0"/>
                                  <w:sz w:val="40"/>
                                  <w:szCs w:val="40"/>
                                  <w:lang w:eastAsia="en-US"/>
                                </w:rPr>
                                <w:t>SMJERNICE</w:t>
                              </w:r>
                              <w:r>
                                <w:rPr>
                                  <w:rFonts w:ascii="Times New Roman" w:eastAsiaTheme="minorHAnsi" w:hAnsi="Times New Roman" w:cs="Times New Roman"/>
                                  <w:b/>
                                  <w:color w:val="auto"/>
                                  <w:spacing w:val="0"/>
                                  <w:kern w:val="0"/>
                                  <w:sz w:val="40"/>
                                  <w:szCs w:val="40"/>
                                  <w:lang w:eastAsia="en-US"/>
                                </w:rPr>
                                <w:t xml:space="preserve"> </w:t>
                              </w:r>
                              <w:r w:rsidRPr="000C7CE0">
                                <w:rPr>
                                  <w:rFonts w:ascii="Times New Roman" w:eastAsiaTheme="minorHAnsi" w:hAnsi="Times New Roman" w:cs="Times New Roman"/>
                                  <w:b/>
                                  <w:color w:val="auto"/>
                                  <w:spacing w:val="0"/>
                                  <w:kern w:val="0"/>
                                  <w:sz w:val="40"/>
                                  <w:szCs w:val="40"/>
                                  <w:lang w:eastAsia="en-US"/>
                                </w:rPr>
                                <w:t>ZA USPOSTAVU STANDARDNIH MATERIJALNIH TROŠKOVA</w:t>
                              </w:r>
                              <w:r>
                                <w:rPr>
                                  <w:rFonts w:ascii="Times New Roman" w:eastAsiaTheme="minorHAnsi" w:hAnsi="Times New Roman" w:cs="Times New Roman"/>
                                  <w:b/>
                                  <w:color w:val="auto"/>
                                  <w:spacing w:val="0"/>
                                  <w:kern w:val="0"/>
                                  <w:sz w:val="40"/>
                                  <w:szCs w:val="40"/>
                                  <w:lang w:eastAsia="en-US"/>
                                </w:rPr>
                                <w:t xml:space="preserve"> </w:t>
                              </w:r>
                              <w:r w:rsidRPr="000C7CE0">
                                <w:rPr>
                                  <w:rFonts w:ascii="Times New Roman" w:eastAsiaTheme="minorHAnsi" w:hAnsi="Times New Roman" w:cs="Times New Roman"/>
                                  <w:b/>
                                  <w:color w:val="auto"/>
                                  <w:spacing w:val="0"/>
                                  <w:kern w:val="0"/>
                                  <w:sz w:val="40"/>
                                  <w:szCs w:val="40"/>
                                  <w:lang w:eastAsia="en-US"/>
                                </w:rPr>
                                <w:t>KOD PRORAČUNSKIH I IZVANPRORAČUNSKIH KORISNIKA DRŽAVNOG PRORAČUNA</w:t>
                              </w:r>
                            </w:p>
                          </w:sdtContent>
                        </w:sdt>
                        <w:sdt>
                          <w:sdtPr>
                            <w:rPr>
                              <w:color w:val="FFFFFF" w:themeColor="background1"/>
                              <w:sz w:val="21"/>
                              <w:szCs w:val="21"/>
                            </w:rPr>
                            <w:alias w:val="Kratki pregled"/>
                            <w:id w:val="307982498"/>
                            <w:dataBinding w:prefixMappings="xmlns:ns0='http://schemas.microsoft.com/office/2006/coverPageProps'" w:xpath="/ns0:CoverPageProperties[1]/ns0:Abstract[1]" w:storeItemID="{55AF091B-3C7A-41E3-B477-F2FDAA23CFDA}"/>
                            <w:text/>
                          </w:sdtPr>
                          <w:sdtContent>
                            <w:p w:rsidR="00022BA3" w:rsidRDefault="00022BA3">
                              <w:pPr>
                                <w:spacing w:before="240"/>
                                <w:ind w:left="1008"/>
                                <w:jc w:val="right"/>
                                <w:rPr>
                                  <w:color w:val="FFFFFF" w:themeColor="background1"/>
                                </w:rPr>
                              </w:pPr>
                              <w:r>
                                <w:rPr>
                                  <w:color w:val="FFFFFF" w:themeColor="background1"/>
                                  <w:sz w:val="21"/>
                                  <w:szCs w:val="21"/>
                                </w:rPr>
                                <w:t>Studeni 2015.</w:t>
                              </w:r>
                            </w:p>
                          </w:sdtContent>
                        </w:sdt>
                      </w:txbxContent>
                    </v:textbox>
                    <w10:wrap anchorx="page" anchory="page"/>
                  </v:rect>
                </w:pict>
              </mc:Fallback>
            </mc:AlternateContent>
          </w:r>
          <w:r>
            <w:rPr>
              <w:noProof/>
              <w:lang w:eastAsia="hr-HR"/>
            </w:rPr>
            <mc:AlternateContent>
              <mc:Choice Requires="wps">
                <w:drawing>
                  <wp:anchor distT="0" distB="0" distL="114300" distR="114300" simplePos="0" relativeHeight="251660288" behindDoc="0" locked="0" layoutInCell="1" allowOverlap="1" wp14:anchorId="4B62D596" wp14:editId="29A8AC1E">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Pravokutni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Podnaslov"/>
                                  <w:id w:val="1090039369"/>
                                  <w:dataBinding w:prefixMappings="xmlns:ns0='http://schemas.openxmlformats.org/package/2006/metadata/core-properties' xmlns:ns1='http://purl.org/dc/elements/1.1/'" w:xpath="/ns0:coreProperties[1]/ns1:subject[1]" w:storeItemID="{6C3C8BC8-F283-45AE-878A-BAB7291924A1}"/>
                                  <w:text/>
                                </w:sdtPr>
                                <w:sdtEndPr/>
                                <w:sdtContent>
                                  <w:p w:rsidR="00022BA3" w:rsidRDefault="00022BA3">
                                    <w:pPr>
                                      <w:pStyle w:val="Podnaslov"/>
                                      <w:rPr>
                                        <w:color w:val="FFFFFF" w:themeColor="background1"/>
                                      </w:rPr>
                                    </w:pPr>
                                    <w:r w:rsidRPr="000C7CE0">
                                      <w:rPr>
                                        <w:color w:val="FFFFFF" w:themeColor="background1"/>
                                        <w:sz w:val="28"/>
                                        <w:szCs w:val="28"/>
                                      </w:rPr>
                                      <w:t>MINISTARSTVO FINANCIJA</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Pravokutnik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" fillcolor="#1f497d [3215]" stroked="f" strokeweight="2pt">
                    <v:path arrowok="t"/>
                    <v:textbox inset="14.4pt,,14.4pt">
                      <w:txbxContent>
                        <w:sdt>
                          <w:sdtPr>
                            <w:rPr>
                              <w:color w:val="FFFFFF" w:themeColor="background1"/>
                              <w:sz w:val="28"/>
                              <w:szCs w:val="28"/>
                            </w:rPr>
                            <w:alias w:val="Podnaslov"/>
                            <w:id w:val="1090039369"/>
                            <w:dataBinding w:prefixMappings="xmlns:ns0='http://schemas.openxmlformats.org/package/2006/metadata/core-properties' xmlns:ns1='http://purl.org/dc/elements/1.1/'" w:xpath="/ns0:coreProperties[1]/ns1:subject[1]" w:storeItemID="{6C3C8BC8-F283-45AE-878A-BAB7291924A1}"/>
                            <w:text/>
                          </w:sdtPr>
                          <w:sdtContent>
                            <w:p w:rsidR="00022BA3" w:rsidRDefault="00022BA3">
                              <w:pPr>
                                <w:pStyle w:val="Podnaslov"/>
                                <w:rPr>
                                  <w:color w:val="FFFFFF" w:themeColor="background1"/>
                                </w:rPr>
                              </w:pPr>
                              <w:r w:rsidRPr="000C7CE0">
                                <w:rPr>
                                  <w:color w:val="FFFFFF" w:themeColor="background1"/>
                                  <w:sz w:val="28"/>
                                  <w:szCs w:val="28"/>
                                </w:rPr>
                                <w:t>MINISTARSTVO FINANCIJA</w:t>
                              </w:r>
                            </w:p>
                          </w:sdtContent>
                        </w:sdt>
                      </w:txbxContent>
                    </v:textbox>
                    <w10:wrap anchorx="page" anchory="page"/>
                  </v:rect>
                </w:pict>
              </mc:Fallback>
            </mc:AlternateContent>
          </w:r>
        </w:p>
        <w:p w:rsidR="000C7CE0" w:rsidRDefault="000C7CE0"/>
        <w:p w:rsidR="000C7CE0" w:rsidRDefault="000C7CE0">
          <w:pPr>
            <w:rPr>
              <w:rFonts w:ascii="Times New Roman" w:hAnsi="Times New Roman" w:cs="Times New Roman"/>
              <w:b/>
              <w:sz w:val="28"/>
              <w:szCs w:val="28"/>
            </w:rPr>
          </w:pPr>
          <w:r>
            <w:rPr>
              <w:rFonts w:ascii="Times New Roman" w:hAnsi="Times New Roman" w:cs="Times New Roman"/>
              <w:b/>
              <w:sz w:val="28"/>
              <w:szCs w:val="28"/>
            </w:rPr>
            <w:br w:type="page"/>
          </w:r>
        </w:p>
      </w:sdtContent>
    </w:sdt>
    <w:p w:rsidR="00DA1FE9" w:rsidRPr="00AC4198" w:rsidRDefault="00DA1FE9" w:rsidP="00386350">
      <w:pPr>
        <w:spacing w:line="240" w:lineRule="auto"/>
        <w:jc w:val="both"/>
        <w:rPr>
          <w:rFonts w:ascii="Times New Roman" w:hAnsi="Times New Roman" w:cs="Times New Roman"/>
          <w:sz w:val="24"/>
          <w:szCs w:val="24"/>
        </w:rPr>
      </w:pPr>
      <w:r w:rsidRPr="00AC4198">
        <w:rPr>
          <w:rFonts w:ascii="Times New Roman" w:hAnsi="Times New Roman" w:cs="Times New Roman"/>
          <w:sz w:val="24"/>
          <w:szCs w:val="24"/>
        </w:rPr>
        <w:lastRenderedPageBreak/>
        <w:t>SADRŽAJ</w:t>
      </w:r>
    </w:p>
    <w:p w:rsidR="00AC4198" w:rsidRPr="00AC4198" w:rsidRDefault="00A37F2B">
      <w:pPr>
        <w:pStyle w:val="Sadraj1"/>
        <w:tabs>
          <w:tab w:val="left" w:pos="440"/>
          <w:tab w:val="right" w:leader="dot" w:pos="9062"/>
        </w:tabs>
        <w:rPr>
          <w:rFonts w:eastAsiaTheme="minorEastAsia"/>
          <w:noProof/>
          <w:sz w:val="18"/>
          <w:szCs w:val="18"/>
          <w:lang w:eastAsia="hr-HR"/>
        </w:rPr>
      </w:pPr>
      <w:r w:rsidRPr="00AC4198">
        <w:rPr>
          <w:rFonts w:ascii="Times New Roman" w:hAnsi="Times New Roman" w:cs="Times New Roman"/>
          <w:sz w:val="18"/>
          <w:szCs w:val="18"/>
        </w:rPr>
        <w:fldChar w:fldCharType="begin"/>
      </w:r>
      <w:r w:rsidRPr="00AC4198">
        <w:rPr>
          <w:rFonts w:ascii="Times New Roman" w:hAnsi="Times New Roman" w:cs="Times New Roman"/>
          <w:sz w:val="18"/>
          <w:szCs w:val="18"/>
        </w:rPr>
        <w:instrText xml:space="preserve"> TOC \o "1-3" \h \z \u </w:instrText>
      </w:r>
      <w:r w:rsidRPr="00AC4198">
        <w:rPr>
          <w:rFonts w:ascii="Times New Roman" w:hAnsi="Times New Roman" w:cs="Times New Roman"/>
          <w:sz w:val="18"/>
          <w:szCs w:val="18"/>
        </w:rPr>
        <w:fldChar w:fldCharType="separate"/>
      </w:r>
      <w:hyperlink w:anchor="_Toc436402313" w:history="1">
        <w:r w:rsidR="00AC4198" w:rsidRPr="00AC4198">
          <w:rPr>
            <w:rStyle w:val="Hiperveza"/>
            <w:rFonts w:ascii="Times New Roman" w:hAnsi="Times New Roman" w:cs="Times New Roman"/>
            <w:noProof/>
            <w:sz w:val="18"/>
            <w:szCs w:val="18"/>
          </w:rPr>
          <w:t>1.</w:t>
        </w:r>
        <w:r w:rsidR="00AC4198" w:rsidRPr="00AC4198">
          <w:rPr>
            <w:rFonts w:eastAsiaTheme="minorEastAsia"/>
            <w:noProof/>
            <w:sz w:val="18"/>
            <w:szCs w:val="18"/>
            <w:lang w:eastAsia="hr-HR"/>
          </w:rPr>
          <w:tab/>
        </w:r>
        <w:r w:rsidR="00AC4198" w:rsidRPr="00AC4198">
          <w:rPr>
            <w:rStyle w:val="Hiperveza"/>
            <w:rFonts w:ascii="Times New Roman" w:hAnsi="Times New Roman" w:cs="Times New Roman"/>
            <w:noProof/>
            <w:sz w:val="18"/>
            <w:szCs w:val="18"/>
          </w:rPr>
          <w:t>UVOD</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_Toc436402313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3</w:t>
        </w:r>
        <w:r w:rsidR="00AC4198" w:rsidRPr="00AC4198">
          <w:rPr>
            <w:noProof/>
            <w:webHidden/>
            <w:sz w:val="18"/>
            <w:szCs w:val="18"/>
          </w:rPr>
          <w:fldChar w:fldCharType="end"/>
        </w:r>
      </w:hyperlink>
    </w:p>
    <w:p w:rsidR="00AC4198" w:rsidRPr="00AC4198" w:rsidRDefault="008C6D07">
      <w:pPr>
        <w:pStyle w:val="Sadraj1"/>
        <w:tabs>
          <w:tab w:val="left" w:pos="440"/>
          <w:tab w:val="right" w:leader="dot" w:pos="9062"/>
        </w:tabs>
        <w:rPr>
          <w:rFonts w:eastAsiaTheme="minorEastAsia"/>
          <w:noProof/>
          <w:sz w:val="18"/>
          <w:szCs w:val="18"/>
          <w:lang w:eastAsia="hr-HR"/>
        </w:rPr>
      </w:pPr>
      <w:hyperlink w:anchor="_Toc436402314" w:history="1">
        <w:r w:rsidR="00AC4198" w:rsidRPr="00AC4198">
          <w:rPr>
            <w:rStyle w:val="Hiperveza"/>
            <w:rFonts w:ascii="Times New Roman" w:hAnsi="Times New Roman" w:cs="Times New Roman"/>
            <w:noProof/>
            <w:sz w:val="18"/>
            <w:szCs w:val="18"/>
          </w:rPr>
          <w:t>2.</w:t>
        </w:r>
        <w:r w:rsidR="00AC4198" w:rsidRPr="00AC4198">
          <w:rPr>
            <w:rFonts w:eastAsiaTheme="minorEastAsia"/>
            <w:noProof/>
            <w:sz w:val="18"/>
            <w:szCs w:val="18"/>
            <w:lang w:eastAsia="hr-HR"/>
          </w:rPr>
          <w:tab/>
        </w:r>
        <w:r w:rsidR="00AC4198" w:rsidRPr="00AC4198">
          <w:rPr>
            <w:rStyle w:val="Hiperveza"/>
            <w:rFonts w:ascii="Times New Roman" w:hAnsi="Times New Roman" w:cs="Times New Roman"/>
            <w:noProof/>
            <w:sz w:val="18"/>
            <w:szCs w:val="18"/>
          </w:rPr>
          <w:t>DEFINIRANJE STANDARDNOG TROŠKA</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_Toc436402314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3</w:t>
        </w:r>
        <w:r w:rsidR="00AC4198" w:rsidRPr="00AC4198">
          <w:rPr>
            <w:noProof/>
            <w:webHidden/>
            <w:sz w:val="18"/>
            <w:szCs w:val="18"/>
          </w:rPr>
          <w:fldChar w:fldCharType="end"/>
        </w:r>
      </w:hyperlink>
    </w:p>
    <w:p w:rsidR="00AC4198" w:rsidRPr="00AC4198" w:rsidRDefault="008C6D07">
      <w:pPr>
        <w:pStyle w:val="Sadraj1"/>
        <w:tabs>
          <w:tab w:val="left" w:pos="440"/>
          <w:tab w:val="right" w:leader="dot" w:pos="9062"/>
        </w:tabs>
        <w:rPr>
          <w:rFonts w:eastAsiaTheme="minorEastAsia"/>
          <w:noProof/>
          <w:sz w:val="18"/>
          <w:szCs w:val="18"/>
          <w:lang w:eastAsia="hr-HR"/>
        </w:rPr>
      </w:pPr>
      <w:hyperlink w:anchor="_Toc436402315" w:history="1">
        <w:r w:rsidR="00AC4198" w:rsidRPr="00AC4198">
          <w:rPr>
            <w:rStyle w:val="Hiperveza"/>
            <w:rFonts w:ascii="Times New Roman" w:hAnsi="Times New Roman" w:cs="Times New Roman"/>
            <w:noProof/>
            <w:sz w:val="18"/>
            <w:szCs w:val="18"/>
          </w:rPr>
          <w:t>3.</w:t>
        </w:r>
        <w:r w:rsidR="00AC4198" w:rsidRPr="00AC4198">
          <w:rPr>
            <w:rFonts w:eastAsiaTheme="minorEastAsia"/>
            <w:noProof/>
            <w:sz w:val="18"/>
            <w:szCs w:val="18"/>
            <w:lang w:eastAsia="hr-HR"/>
          </w:rPr>
          <w:tab/>
        </w:r>
        <w:r w:rsidR="00AC4198" w:rsidRPr="00AC4198">
          <w:rPr>
            <w:rStyle w:val="Hiperveza"/>
            <w:rFonts w:ascii="Times New Roman" w:hAnsi="Times New Roman" w:cs="Times New Roman"/>
            <w:noProof/>
            <w:sz w:val="18"/>
            <w:szCs w:val="18"/>
          </w:rPr>
          <w:t>OBUHVAT ANALIZE RADI DEFINIRANJA STANDARDNIH TROŠKOVA</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_Toc436402315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5</w:t>
        </w:r>
        <w:r w:rsidR="00AC4198" w:rsidRPr="00AC4198">
          <w:rPr>
            <w:noProof/>
            <w:webHidden/>
            <w:sz w:val="18"/>
            <w:szCs w:val="18"/>
          </w:rPr>
          <w:fldChar w:fldCharType="end"/>
        </w:r>
      </w:hyperlink>
    </w:p>
    <w:p w:rsidR="00AC4198" w:rsidRPr="00AC4198" w:rsidRDefault="008C6D07">
      <w:pPr>
        <w:pStyle w:val="Sadraj1"/>
        <w:tabs>
          <w:tab w:val="left" w:pos="440"/>
          <w:tab w:val="right" w:leader="dot" w:pos="9062"/>
        </w:tabs>
        <w:rPr>
          <w:rFonts w:eastAsiaTheme="minorEastAsia"/>
          <w:noProof/>
          <w:sz w:val="18"/>
          <w:szCs w:val="18"/>
          <w:lang w:eastAsia="hr-HR"/>
        </w:rPr>
      </w:pPr>
      <w:hyperlink w:anchor="_Toc436402316" w:history="1">
        <w:r w:rsidR="00AC4198" w:rsidRPr="00AC4198">
          <w:rPr>
            <w:rStyle w:val="Hiperveza"/>
            <w:rFonts w:ascii="Times New Roman" w:hAnsi="Times New Roman" w:cs="Times New Roman"/>
            <w:noProof/>
            <w:sz w:val="18"/>
            <w:szCs w:val="18"/>
          </w:rPr>
          <w:t>4.</w:t>
        </w:r>
        <w:r w:rsidR="00AC4198" w:rsidRPr="00AC4198">
          <w:rPr>
            <w:rFonts w:eastAsiaTheme="minorEastAsia"/>
            <w:noProof/>
            <w:sz w:val="18"/>
            <w:szCs w:val="18"/>
            <w:lang w:eastAsia="hr-HR"/>
          </w:rPr>
          <w:tab/>
        </w:r>
        <w:r w:rsidR="00AC4198" w:rsidRPr="00AC4198">
          <w:rPr>
            <w:rStyle w:val="Hiperveza"/>
            <w:rFonts w:ascii="Times New Roman" w:hAnsi="Times New Roman" w:cs="Times New Roman"/>
            <w:noProof/>
            <w:sz w:val="18"/>
            <w:szCs w:val="18"/>
          </w:rPr>
          <w:t>UKUPNI MATERIJALNI RASHODI</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_Toc436402316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6</w:t>
        </w:r>
        <w:r w:rsidR="00AC4198" w:rsidRPr="00AC4198">
          <w:rPr>
            <w:noProof/>
            <w:webHidden/>
            <w:sz w:val="18"/>
            <w:szCs w:val="18"/>
          </w:rPr>
          <w:fldChar w:fldCharType="end"/>
        </w:r>
      </w:hyperlink>
    </w:p>
    <w:p w:rsidR="00AC4198" w:rsidRPr="00AC4198" w:rsidRDefault="008C6D07">
      <w:pPr>
        <w:pStyle w:val="Sadraj1"/>
        <w:tabs>
          <w:tab w:val="left" w:pos="440"/>
          <w:tab w:val="right" w:leader="dot" w:pos="9062"/>
        </w:tabs>
        <w:rPr>
          <w:rFonts w:eastAsiaTheme="minorEastAsia"/>
          <w:noProof/>
          <w:sz w:val="18"/>
          <w:szCs w:val="18"/>
          <w:lang w:eastAsia="hr-HR"/>
        </w:rPr>
      </w:pPr>
      <w:hyperlink w:anchor="_Toc436402317" w:history="1">
        <w:r w:rsidR="00AC4198" w:rsidRPr="00AC4198">
          <w:rPr>
            <w:rStyle w:val="Hiperveza"/>
            <w:rFonts w:ascii="Times New Roman" w:hAnsi="Times New Roman" w:cs="Times New Roman"/>
            <w:noProof/>
            <w:sz w:val="18"/>
            <w:szCs w:val="18"/>
          </w:rPr>
          <w:t>5.</w:t>
        </w:r>
        <w:r w:rsidR="00AC4198" w:rsidRPr="00AC4198">
          <w:rPr>
            <w:rFonts w:eastAsiaTheme="minorEastAsia"/>
            <w:noProof/>
            <w:sz w:val="18"/>
            <w:szCs w:val="18"/>
            <w:lang w:eastAsia="hr-HR"/>
          </w:rPr>
          <w:tab/>
        </w:r>
        <w:r w:rsidR="00AC4198" w:rsidRPr="00AC4198">
          <w:rPr>
            <w:rStyle w:val="Hiperveza"/>
            <w:rFonts w:ascii="Times New Roman" w:hAnsi="Times New Roman" w:cs="Times New Roman"/>
            <w:noProof/>
            <w:sz w:val="18"/>
            <w:szCs w:val="18"/>
          </w:rPr>
          <w:t>NAKNADE TROŠKOVA ZAPOSLENIMA (321)</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_Toc436402317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10</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18" w:history="1">
        <w:r w:rsidR="00AC4198" w:rsidRPr="00AC4198">
          <w:rPr>
            <w:rStyle w:val="Hiperveza"/>
            <w:rFonts w:ascii="Times New Roman" w:hAnsi="Times New Roman" w:cs="Times New Roman"/>
            <w:noProof/>
            <w:sz w:val="18"/>
            <w:szCs w:val="18"/>
          </w:rPr>
          <w:t>SLUŽBENA PUTOVANJA (3211)</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_Toc436402318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10</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19" w:history="1">
        <w:r w:rsidR="00AC4198" w:rsidRPr="00AC4198">
          <w:rPr>
            <w:rStyle w:val="Hiperveza"/>
            <w:rFonts w:ascii="Times New Roman" w:hAnsi="Times New Roman" w:cs="Times New Roman"/>
            <w:noProof/>
            <w:sz w:val="18"/>
            <w:szCs w:val="18"/>
          </w:rPr>
          <w:t>NAKNADE ZA PRIJEVOZ, ZA RAD NA TERENU I ODVOJENI ŽIVOT (3212)</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_Toc436402319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11</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20" w:history="1">
        <w:r w:rsidR="00AC4198" w:rsidRPr="00AC4198">
          <w:rPr>
            <w:rStyle w:val="Hiperveza"/>
            <w:rFonts w:ascii="Times New Roman" w:hAnsi="Times New Roman" w:cs="Times New Roman"/>
            <w:noProof/>
            <w:sz w:val="18"/>
            <w:szCs w:val="18"/>
          </w:rPr>
          <w:t>STRUČNO USAVRŠAVANJE ZAPOSLENIKA (3213)</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_Toc436402320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12</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21" w:history="1">
        <w:r w:rsidR="00AC4198" w:rsidRPr="00AC4198">
          <w:rPr>
            <w:rStyle w:val="Hiperveza"/>
            <w:rFonts w:ascii="Times New Roman" w:hAnsi="Times New Roman" w:cs="Times New Roman"/>
            <w:noProof/>
            <w:sz w:val="18"/>
            <w:szCs w:val="18"/>
          </w:rPr>
          <w:t>OSTALE NAKNADE TROŠKOVA ZAPOSLENIMA (3214)</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_Toc436402321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14</w:t>
        </w:r>
        <w:r w:rsidR="00AC4198" w:rsidRPr="00AC4198">
          <w:rPr>
            <w:noProof/>
            <w:webHidden/>
            <w:sz w:val="18"/>
            <w:szCs w:val="18"/>
          </w:rPr>
          <w:fldChar w:fldCharType="end"/>
        </w:r>
      </w:hyperlink>
    </w:p>
    <w:p w:rsidR="00AC4198" w:rsidRPr="00AC4198" w:rsidRDefault="008C6D07">
      <w:pPr>
        <w:pStyle w:val="Sadraj1"/>
        <w:tabs>
          <w:tab w:val="left" w:pos="440"/>
          <w:tab w:val="right" w:leader="dot" w:pos="9062"/>
        </w:tabs>
        <w:rPr>
          <w:rFonts w:eastAsiaTheme="minorEastAsia"/>
          <w:noProof/>
          <w:sz w:val="18"/>
          <w:szCs w:val="18"/>
          <w:lang w:eastAsia="hr-HR"/>
        </w:rPr>
      </w:pPr>
      <w:hyperlink w:anchor="_Toc436402322" w:history="1">
        <w:r w:rsidR="00AC4198" w:rsidRPr="00AC4198">
          <w:rPr>
            <w:rStyle w:val="Hiperveza"/>
            <w:rFonts w:ascii="Times New Roman" w:hAnsi="Times New Roman" w:cs="Times New Roman"/>
            <w:noProof/>
            <w:sz w:val="18"/>
            <w:szCs w:val="18"/>
          </w:rPr>
          <w:t>6.</w:t>
        </w:r>
        <w:r w:rsidR="00AC4198" w:rsidRPr="00AC4198">
          <w:rPr>
            <w:rFonts w:eastAsiaTheme="minorEastAsia"/>
            <w:noProof/>
            <w:sz w:val="18"/>
            <w:szCs w:val="18"/>
            <w:lang w:eastAsia="hr-HR"/>
          </w:rPr>
          <w:tab/>
        </w:r>
        <w:r w:rsidR="00AC4198" w:rsidRPr="00AC4198">
          <w:rPr>
            <w:rStyle w:val="Hiperveza"/>
            <w:rFonts w:ascii="Times New Roman" w:hAnsi="Times New Roman" w:cs="Times New Roman"/>
            <w:noProof/>
            <w:sz w:val="18"/>
            <w:szCs w:val="18"/>
          </w:rPr>
          <w:t>RASHODI ZA MATERIJAL I ENERGIJU (322)</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_Toc436402322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14</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23" w:history="1">
        <w:r w:rsidR="00AC4198" w:rsidRPr="00AC4198">
          <w:rPr>
            <w:rStyle w:val="Hiperveza"/>
            <w:rFonts w:ascii="Times New Roman" w:hAnsi="Times New Roman" w:cs="Times New Roman"/>
            <w:noProof/>
            <w:sz w:val="18"/>
            <w:szCs w:val="18"/>
          </w:rPr>
          <w:t>UREDSKI MATERIJAL I OSTALI MATERIJALNI RASHODI (3221)</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_Toc436402323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15</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24" w:history="1">
        <w:r w:rsidR="00AC4198" w:rsidRPr="00AC4198">
          <w:rPr>
            <w:rStyle w:val="Hiperveza"/>
            <w:rFonts w:ascii="Times New Roman" w:hAnsi="Times New Roman" w:cs="Times New Roman"/>
            <w:noProof/>
            <w:sz w:val="18"/>
            <w:szCs w:val="18"/>
          </w:rPr>
          <w:t>MATERIJAL I SIROVINE (3222)</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_Toc436402324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17</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25" w:history="1">
        <w:r w:rsidR="00AC4198" w:rsidRPr="00AC4198">
          <w:rPr>
            <w:rStyle w:val="Hiperveza"/>
            <w:rFonts w:ascii="Times New Roman" w:hAnsi="Times New Roman" w:cs="Times New Roman"/>
            <w:noProof/>
            <w:sz w:val="18"/>
            <w:szCs w:val="18"/>
          </w:rPr>
          <w:t>ENERGIJA (3223)</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_Toc436402325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19</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26" w:history="1">
        <w:r w:rsidR="00AC4198" w:rsidRPr="00AC4198">
          <w:rPr>
            <w:rStyle w:val="Hiperveza"/>
            <w:rFonts w:ascii="Times New Roman" w:hAnsi="Times New Roman" w:cs="Times New Roman"/>
            <w:noProof/>
            <w:sz w:val="18"/>
            <w:szCs w:val="18"/>
          </w:rPr>
          <w:t>MATERIJAL I DIJELOVI ZA TEKUĆE I INVESTICIJSKO ODRŽAVANJE (3224)</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_Toc436402326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21</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27" w:history="1">
        <w:r w:rsidR="00AC4198" w:rsidRPr="00AC4198">
          <w:rPr>
            <w:rStyle w:val="Hiperveza"/>
            <w:rFonts w:ascii="Times New Roman" w:hAnsi="Times New Roman" w:cs="Times New Roman"/>
            <w:noProof/>
            <w:sz w:val="18"/>
            <w:szCs w:val="18"/>
          </w:rPr>
          <w:t>SITNI INVENTAR I AUTO GUME (3225)</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_Toc436402327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22</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28" w:history="1">
        <w:r w:rsidR="00AC4198" w:rsidRPr="00AC4198">
          <w:rPr>
            <w:rStyle w:val="Hiperveza"/>
            <w:rFonts w:ascii="Times New Roman" w:hAnsi="Times New Roman" w:cs="Times New Roman"/>
            <w:noProof/>
            <w:sz w:val="18"/>
            <w:szCs w:val="18"/>
          </w:rPr>
          <w:t>VOJNA OPREMA (3226)</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_Toc436402328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23</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29" w:history="1">
        <w:r w:rsidR="00AC4198" w:rsidRPr="00AC4198">
          <w:rPr>
            <w:rStyle w:val="Hiperveza"/>
            <w:rFonts w:ascii="Times New Roman" w:hAnsi="Times New Roman" w:cs="Times New Roman"/>
            <w:noProof/>
            <w:sz w:val="18"/>
            <w:szCs w:val="18"/>
          </w:rPr>
          <w:t>SLUŽBENA, RADNA I ZAŠTITNA ODJEĆA I OBUĆA (3227)</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_Toc436402329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24</w:t>
        </w:r>
        <w:r w:rsidR="00AC4198" w:rsidRPr="00AC4198">
          <w:rPr>
            <w:noProof/>
            <w:webHidden/>
            <w:sz w:val="18"/>
            <w:szCs w:val="18"/>
          </w:rPr>
          <w:fldChar w:fldCharType="end"/>
        </w:r>
      </w:hyperlink>
    </w:p>
    <w:p w:rsidR="00AC4198" w:rsidRPr="00AC4198" w:rsidRDefault="008C6D07">
      <w:pPr>
        <w:pStyle w:val="Sadraj1"/>
        <w:tabs>
          <w:tab w:val="left" w:pos="440"/>
          <w:tab w:val="right" w:leader="dot" w:pos="9062"/>
        </w:tabs>
        <w:rPr>
          <w:rFonts w:eastAsiaTheme="minorEastAsia"/>
          <w:noProof/>
          <w:sz w:val="18"/>
          <w:szCs w:val="18"/>
          <w:lang w:eastAsia="hr-HR"/>
        </w:rPr>
      </w:pPr>
      <w:hyperlink w:anchor="_Toc436402330" w:history="1">
        <w:r w:rsidR="00AC4198" w:rsidRPr="00AC4198">
          <w:rPr>
            <w:rStyle w:val="Hiperveza"/>
            <w:rFonts w:ascii="Times New Roman" w:hAnsi="Times New Roman" w:cs="Times New Roman"/>
            <w:noProof/>
            <w:sz w:val="18"/>
            <w:szCs w:val="18"/>
          </w:rPr>
          <w:t>7.</w:t>
        </w:r>
        <w:r w:rsidR="00AC4198" w:rsidRPr="00AC4198">
          <w:rPr>
            <w:rFonts w:eastAsiaTheme="minorEastAsia"/>
            <w:noProof/>
            <w:sz w:val="18"/>
            <w:szCs w:val="18"/>
            <w:lang w:eastAsia="hr-HR"/>
          </w:rPr>
          <w:tab/>
        </w:r>
        <w:r w:rsidR="00AC4198" w:rsidRPr="00AC4198">
          <w:rPr>
            <w:rStyle w:val="Hiperveza"/>
            <w:rFonts w:ascii="Times New Roman" w:hAnsi="Times New Roman" w:cs="Times New Roman"/>
            <w:noProof/>
            <w:sz w:val="18"/>
            <w:szCs w:val="18"/>
          </w:rPr>
          <w:t>RASHODI ZA USLUGE (323)</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_Toc436402330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24</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31" w:history="1">
        <w:r w:rsidR="00AC4198" w:rsidRPr="00AC4198">
          <w:rPr>
            <w:rStyle w:val="Hiperveza"/>
            <w:rFonts w:ascii="Times New Roman" w:hAnsi="Times New Roman" w:cs="Times New Roman"/>
            <w:noProof/>
            <w:sz w:val="18"/>
            <w:szCs w:val="18"/>
          </w:rPr>
          <w:t>USLUGE TELEFONA, POŠTE I PRIJEVOZA (3231)</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_Toc436402331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25</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32" w:history="1">
        <w:r w:rsidR="00AC4198" w:rsidRPr="00AC4198">
          <w:rPr>
            <w:rStyle w:val="Hiperveza"/>
            <w:rFonts w:ascii="Times New Roman" w:hAnsi="Times New Roman" w:cs="Times New Roman"/>
            <w:noProof/>
            <w:sz w:val="18"/>
            <w:szCs w:val="18"/>
          </w:rPr>
          <w:t>USLUGE TEKUĆEG I INVESTICIJSKOG ODRŽAVANJA (3232)</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_Toc436402332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28</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33" w:history="1">
        <w:r w:rsidR="00AC4198" w:rsidRPr="00AC4198">
          <w:rPr>
            <w:rStyle w:val="Hiperveza"/>
            <w:rFonts w:ascii="Times New Roman" w:hAnsi="Times New Roman" w:cs="Times New Roman"/>
            <w:noProof/>
            <w:sz w:val="18"/>
            <w:szCs w:val="18"/>
          </w:rPr>
          <w:t>USLUGE PROMIDŽBE I INFORMIRANJA (3233)</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_Toc436402333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29</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34" w:history="1">
        <w:r w:rsidR="00AC4198" w:rsidRPr="00AC4198">
          <w:rPr>
            <w:rStyle w:val="Hiperveza"/>
            <w:rFonts w:ascii="Times New Roman" w:hAnsi="Times New Roman" w:cs="Times New Roman"/>
            <w:noProof/>
            <w:sz w:val="18"/>
            <w:szCs w:val="18"/>
          </w:rPr>
          <w:t>KOMUNALNE USLUGE (3234)</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_Toc436402334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30</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35" w:history="1">
        <w:r w:rsidR="00AC4198" w:rsidRPr="00AC4198">
          <w:rPr>
            <w:rStyle w:val="Hiperveza"/>
            <w:rFonts w:ascii="Times New Roman" w:hAnsi="Times New Roman" w:cs="Times New Roman"/>
            <w:noProof/>
            <w:sz w:val="18"/>
            <w:szCs w:val="18"/>
          </w:rPr>
          <w:t>ZAKUPNINE I NAJAMNINE (3235)</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_Toc436402335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31</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36" w:history="1">
        <w:r w:rsidR="00AC4198" w:rsidRPr="00AC4198">
          <w:rPr>
            <w:rStyle w:val="Hiperveza"/>
            <w:rFonts w:ascii="Times New Roman" w:hAnsi="Times New Roman" w:cs="Times New Roman"/>
            <w:noProof/>
            <w:sz w:val="18"/>
            <w:szCs w:val="18"/>
          </w:rPr>
          <w:t>ZDRAVSTVENE I VETERINARSKE USLUGE (3236)</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_Toc436402336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32</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37" w:history="1">
        <w:r w:rsidR="00AC4198" w:rsidRPr="00AC4198">
          <w:rPr>
            <w:rStyle w:val="Hiperveza"/>
            <w:rFonts w:ascii="Times New Roman" w:hAnsi="Times New Roman" w:cs="Times New Roman"/>
            <w:noProof/>
            <w:sz w:val="18"/>
            <w:szCs w:val="18"/>
          </w:rPr>
          <w:t>INTELEKTUALNE USLUGE (3237)</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_Toc436402337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33</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38" w:history="1">
        <w:r w:rsidR="00AC4198" w:rsidRPr="00AC4198">
          <w:rPr>
            <w:rStyle w:val="Hiperveza"/>
            <w:rFonts w:ascii="Times New Roman" w:hAnsi="Times New Roman" w:cs="Times New Roman"/>
            <w:noProof/>
            <w:sz w:val="18"/>
            <w:szCs w:val="18"/>
          </w:rPr>
          <w:t>RAČUNALNE USLUGE (3238)</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_Toc436402338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35</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39" w:history="1">
        <w:r w:rsidR="00AC4198" w:rsidRPr="00AC4198">
          <w:rPr>
            <w:rStyle w:val="Hiperveza"/>
            <w:rFonts w:ascii="Times New Roman" w:hAnsi="Times New Roman" w:cs="Times New Roman"/>
            <w:noProof/>
            <w:sz w:val="18"/>
            <w:szCs w:val="18"/>
          </w:rPr>
          <w:t>OSTALE USLUGE (3239)</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_Toc436402339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36</w:t>
        </w:r>
        <w:r w:rsidR="00AC4198" w:rsidRPr="00AC4198">
          <w:rPr>
            <w:noProof/>
            <w:webHidden/>
            <w:sz w:val="18"/>
            <w:szCs w:val="18"/>
          </w:rPr>
          <w:fldChar w:fldCharType="end"/>
        </w:r>
      </w:hyperlink>
    </w:p>
    <w:p w:rsidR="00AC4198" w:rsidRPr="00AC4198" w:rsidRDefault="008C6D07">
      <w:pPr>
        <w:pStyle w:val="Sadraj1"/>
        <w:tabs>
          <w:tab w:val="left" w:pos="440"/>
          <w:tab w:val="right" w:leader="dot" w:pos="9062"/>
        </w:tabs>
        <w:rPr>
          <w:rFonts w:eastAsiaTheme="minorEastAsia"/>
          <w:noProof/>
          <w:sz w:val="18"/>
          <w:szCs w:val="18"/>
          <w:lang w:eastAsia="hr-HR"/>
        </w:rPr>
      </w:pPr>
      <w:hyperlink w:anchor="_Toc436402340" w:history="1">
        <w:r w:rsidR="00AC4198" w:rsidRPr="00AC4198">
          <w:rPr>
            <w:rStyle w:val="Hiperveza"/>
            <w:rFonts w:ascii="Times New Roman" w:hAnsi="Times New Roman" w:cs="Times New Roman"/>
            <w:noProof/>
            <w:sz w:val="18"/>
            <w:szCs w:val="18"/>
          </w:rPr>
          <w:t>8.</w:t>
        </w:r>
        <w:r w:rsidR="00AC4198" w:rsidRPr="00AC4198">
          <w:rPr>
            <w:rFonts w:eastAsiaTheme="minorEastAsia"/>
            <w:noProof/>
            <w:sz w:val="18"/>
            <w:szCs w:val="18"/>
            <w:lang w:eastAsia="hr-HR"/>
          </w:rPr>
          <w:tab/>
        </w:r>
        <w:r w:rsidR="00AC4198" w:rsidRPr="00AC4198">
          <w:rPr>
            <w:rStyle w:val="Hiperveza"/>
            <w:rFonts w:ascii="Times New Roman" w:hAnsi="Times New Roman" w:cs="Times New Roman"/>
            <w:noProof/>
            <w:sz w:val="18"/>
            <w:szCs w:val="18"/>
          </w:rPr>
          <w:t>NAKNADE TROŠKOVA OSOBAMA IZVAN RADNOG ODNOSA (3241)</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_Toc436402340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37</w:t>
        </w:r>
        <w:r w:rsidR="00AC4198" w:rsidRPr="00AC4198">
          <w:rPr>
            <w:noProof/>
            <w:webHidden/>
            <w:sz w:val="18"/>
            <w:szCs w:val="18"/>
          </w:rPr>
          <w:fldChar w:fldCharType="end"/>
        </w:r>
      </w:hyperlink>
    </w:p>
    <w:p w:rsidR="00AC4198" w:rsidRPr="00AC4198" w:rsidRDefault="008C6D07">
      <w:pPr>
        <w:pStyle w:val="Sadraj1"/>
        <w:tabs>
          <w:tab w:val="left" w:pos="440"/>
          <w:tab w:val="right" w:leader="dot" w:pos="9062"/>
        </w:tabs>
        <w:rPr>
          <w:rFonts w:eastAsiaTheme="minorEastAsia"/>
          <w:noProof/>
          <w:sz w:val="18"/>
          <w:szCs w:val="18"/>
          <w:lang w:eastAsia="hr-HR"/>
        </w:rPr>
      </w:pPr>
      <w:hyperlink w:anchor="_Toc436402341" w:history="1">
        <w:r w:rsidR="00AC4198" w:rsidRPr="00AC4198">
          <w:rPr>
            <w:rStyle w:val="Hiperveza"/>
            <w:rFonts w:ascii="Times New Roman" w:hAnsi="Times New Roman" w:cs="Times New Roman"/>
            <w:noProof/>
            <w:sz w:val="18"/>
            <w:szCs w:val="18"/>
          </w:rPr>
          <w:t>9.</w:t>
        </w:r>
        <w:r w:rsidR="00AC4198" w:rsidRPr="00AC4198">
          <w:rPr>
            <w:rFonts w:eastAsiaTheme="minorEastAsia"/>
            <w:noProof/>
            <w:sz w:val="18"/>
            <w:szCs w:val="18"/>
            <w:lang w:eastAsia="hr-HR"/>
          </w:rPr>
          <w:tab/>
        </w:r>
        <w:r w:rsidR="00AC4198" w:rsidRPr="00AC4198">
          <w:rPr>
            <w:rStyle w:val="Hiperveza"/>
            <w:rFonts w:ascii="Times New Roman" w:hAnsi="Times New Roman" w:cs="Times New Roman"/>
            <w:noProof/>
            <w:sz w:val="18"/>
            <w:szCs w:val="18"/>
          </w:rPr>
          <w:t>OSTALI NESPOMENUTI RASHODI POSLOVANJA (329)</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_Toc436402341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38</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42" w:history="1">
        <w:r w:rsidR="00AC4198" w:rsidRPr="00AC4198">
          <w:rPr>
            <w:rStyle w:val="Hiperveza"/>
            <w:rFonts w:ascii="Times New Roman" w:hAnsi="Times New Roman" w:cs="Times New Roman"/>
            <w:noProof/>
            <w:sz w:val="18"/>
            <w:szCs w:val="18"/>
          </w:rPr>
          <w:t>NAKNADE ZA RAD PREDSTAVNIČKIH I IZVRŠNIH TIJELA, POVJERENSTAVA I SLIČNO (3291)</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_Toc436402342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39</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43" w:history="1">
        <w:r w:rsidR="00AC4198" w:rsidRPr="00AC4198">
          <w:rPr>
            <w:rStyle w:val="Hiperveza"/>
            <w:rFonts w:ascii="Times New Roman" w:hAnsi="Times New Roman" w:cs="Times New Roman"/>
            <w:noProof/>
            <w:sz w:val="18"/>
            <w:szCs w:val="18"/>
          </w:rPr>
          <w:t>PREMIJE OSIGURANJA (3292)</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_Toc436402343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40</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44" w:history="1">
        <w:r w:rsidR="00AC4198" w:rsidRPr="00AC4198">
          <w:rPr>
            <w:rStyle w:val="Hiperveza"/>
            <w:rFonts w:ascii="Times New Roman" w:hAnsi="Times New Roman" w:cs="Times New Roman"/>
            <w:noProof/>
            <w:sz w:val="18"/>
            <w:szCs w:val="18"/>
          </w:rPr>
          <w:t>REPREZENTACIJA (3293)</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_Toc436402344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42</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45" w:history="1">
        <w:r w:rsidR="00AC4198" w:rsidRPr="00AC4198">
          <w:rPr>
            <w:rStyle w:val="Hiperveza"/>
            <w:rFonts w:ascii="Times New Roman" w:hAnsi="Times New Roman" w:cs="Times New Roman"/>
            <w:noProof/>
            <w:sz w:val="18"/>
            <w:szCs w:val="18"/>
          </w:rPr>
          <w:t>ČLANARINE I NORME (3294)</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_Toc436402345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42</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46" w:history="1">
        <w:r w:rsidR="00AC4198" w:rsidRPr="00AC4198">
          <w:rPr>
            <w:rStyle w:val="Hiperveza"/>
            <w:rFonts w:ascii="Times New Roman" w:hAnsi="Times New Roman" w:cs="Times New Roman"/>
            <w:noProof/>
            <w:sz w:val="18"/>
            <w:szCs w:val="18"/>
          </w:rPr>
          <w:t>PRISTOJBE I NAKNADE (3295)</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_Toc436402346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43</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47" w:history="1">
        <w:r w:rsidR="00AC4198" w:rsidRPr="00AC4198">
          <w:rPr>
            <w:rStyle w:val="Hiperveza"/>
            <w:rFonts w:ascii="Times New Roman" w:hAnsi="Times New Roman" w:cs="Times New Roman"/>
            <w:noProof/>
            <w:sz w:val="18"/>
            <w:szCs w:val="18"/>
          </w:rPr>
          <w:t>TROŠKOVI SUDSKIH POSTUPAKA (3296)</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_Toc436402347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44</w:t>
        </w:r>
        <w:r w:rsidR="00AC4198" w:rsidRPr="00AC4198">
          <w:rPr>
            <w:noProof/>
            <w:webHidden/>
            <w:sz w:val="18"/>
            <w:szCs w:val="18"/>
          </w:rPr>
          <w:fldChar w:fldCharType="end"/>
        </w:r>
      </w:hyperlink>
    </w:p>
    <w:p w:rsidR="00AC4198" w:rsidRPr="00AC4198" w:rsidRDefault="008C6D07">
      <w:pPr>
        <w:pStyle w:val="Sadraj2"/>
        <w:tabs>
          <w:tab w:val="right" w:leader="dot" w:pos="9062"/>
        </w:tabs>
        <w:rPr>
          <w:rFonts w:eastAsiaTheme="minorEastAsia"/>
          <w:noProof/>
          <w:sz w:val="18"/>
          <w:szCs w:val="18"/>
          <w:lang w:eastAsia="hr-HR"/>
        </w:rPr>
      </w:pPr>
      <w:hyperlink w:anchor="_Toc436402348" w:history="1">
        <w:r w:rsidR="00AC4198" w:rsidRPr="00AC4198">
          <w:rPr>
            <w:rStyle w:val="Hiperveza"/>
            <w:rFonts w:ascii="Times New Roman" w:hAnsi="Times New Roman" w:cs="Times New Roman"/>
            <w:noProof/>
            <w:sz w:val="18"/>
            <w:szCs w:val="18"/>
          </w:rPr>
          <w:t>OSTALI NESPOMENUTI RASHODI POSLOVANJA (3299)</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_Toc436402348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44</w:t>
        </w:r>
        <w:r w:rsidR="00AC4198" w:rsidRPr="00AC4198">
          <w:rPr>
            <w:noProof/>
            <w:webHidden/>
            <w:sz w:val="18"/>
            <w:szCs w:val="18"/>
          </w:rPr>
          <w:fldChar w:fldCharType="end"/>
        </w:r>
      </w:hyperlink>
    </w:p>
    <w:p w:rsidR="00AC4198" w:rsidRPr="00AC4198" w:rsidRDefault="008C6D07">
      <w:pPr>
        <w:pStyle w:val="Sadraj1"/>
        <w:tabs>
          <w:tab w:val="left" w:pos="660"/>
          <w:tab w:val="right" w:leader="dot" w:pos="9062"/>
        </w:tabs>
        <w:rPr>
          <w:rFonts w:eastAsiaTheme="minorEastAsia"/>
          <w:noProof/>
          <w:sz w:val="18"/>
          <w:szCs w:val="18"/>
          <w:lang w:eastAsia="hr-HR"/>
        </w:rPr>
      </w:pPr>
      <w:hyperlink w:anchor="_Toc436402349" w:history="1">
        <w:r w:rsidR="00AC4198" w:rsidRPr="00AC4198">
          <w:rPr>
            <w:rStyle w:val="Hiperveza"/>
            <w:rFonts w:ascii="Times New Roman" w:hAnsi="Times New Roman" w:cs="Times New Roman"/>
            <w:noProof/>
            <w:sz w:val="18"/>
            <w:szCs w:val="18"/>
          </w:rPr>
          <w:t>10.</w:t>
        </w:r>
        <w:r w:rsidR="00AC4198" w:rsidRPr="00AC4198">
          <w:rPr>
            <w:rFonts w:eastAsiaTheme="minorEastAsia"/>
            <w:noProof/>
            <w:sz w:val="18"/>
            <w:szCs w:val="18"/>
            <w:lang w:eastAsia="hr-HR"/>
          </w:rPr>
          <w:tab/>
        </w:r>
        <w:r w:rsidR="00AC4198" w:rsidRPr="00AC4198">
          <w:rPr>
            <w:rStyle w:val="Hiperveza"/>
            <w:rFonts w:ascii="Times New Roman" w:hAnsi="Times New Roman" w:cs="Times New Roman"/>
            <w:noProof/>
            <w:sz w:val="18"/>
            <w:szCs w:val="18"/>
          </w:rPr>
          <w:t>STANDARDI ZA HORIZONTALNE FUNKCIJE U POSLOVANJU KORISNIKA</w:t>
        </w:r>
        <w:r w:rsidR="00AC4198" w:rsidRPr="00AC4198">
          <w:rPr>
            <w:noProof/>
            <w:webHidden/>
            <w:sz w:val="18"/>
            <w:szCs w:val="18"/>
          </w:rPr>
          <w:tab/>
        </w:r>
        <w:r w:rsidR="00AC4198" w:rsidRPr="00AC4198">
          <w:rPr>
            <w:noProof/>
            <w:webHidden/>
            <w:sz w:val="18"/>
            <w:szCs w:val="18"/>
          </w:rPr>
          <w:fldChar w:fldCharType="begin"/>
        </w:r>
        <w:r w:rsidR="00AC4198" w:rsidRPr="00AC4198">
          <w:rPr>
            <w:noProof/>
            <w:webHidden/>
            <w:sz w:val="18"/>
            <w:szCs w:val="18"/>
          </w:rPr>
          <w:instrText xml:space="preserve"> PAGEREF _Toc436402349 \h </w:instrText>
        </w:r>
        <w:r w:rsidR="00AC4198" w:rsidRPr="00AC4198">
          <w:rPr>
            <w:noProof/>
            <w:webHidden/>
            <w:sz w:val="18"/>
            <w:szCs w:val="18"/>
          </w:rPr>
        </w:r>
        <w:r w:rsidR="00AC4198" w:rsidRPr="00AC4198">
          <w:rPr>
            <w:noProof/>
            <w:webHidden/>
            <w:sz w:val="18"/>
            <w:szCs w:val="18"/>
          </w:rPr>
          <w:fldChar w:fldCharType="separate"/>
        </w:r>
        <w:r w:rsidR="0082637E">
          <w:rPr>
            <w:noProof/>
            <w:webHidden/>
            <w:sz w:val="18"/>
            <w:szCs w:val="18"/>
          </w:rPr>
          <w:t>45</w:t>
        </w:r>
        <w:r w:rsidR="00AC4198" w:rsidRPr="00AC4198">
          <w:rPr>
            <w:noProof/>
            <w:webHidden/>
            <w:sz w:val="18"/>
            <w:szCs w:val="18"/>
          </w:rPr>
          <w:fldChar w:fldCharType="end"/>
        </w:r>
      </w:hyperlink>
    </w:p>
    <w:p w:rsidR="00901181" w:rsidRDefault="00A37F2B" w:rsidP="00AA53F2">
      <w:pPr>
        <w:spacing w:after="0" w:line="240" w:lineRule="auto"/>
        <w:jc w:val="both"/>
        <w:rPr>
          <w:rFonts w:ascii="Times New Roman" w:hAnsi="Times New Roman" w:cs="Times New Roman"/>
        </w:rPr>
      </w:pPr>
      <w:r w:rsidRPr="00AC4198">
        <w:rPr>
          <w:rFonts w:ascii="Times New Roman" w:hAnsi="Times New Roman" w:cs="Times New Roman"/>
          <w:sz w:val="18"/>
          <w:szCs w:val="18"/>
        </w:rPr>
        <w:fldChar w:fldCharType="end"/>
      </w:r>
    </w:p>
    <w:p w:rsidR="00A37F2B" w:rsidRPr="00FA7F54" w:rsidRDefault="00A37F2B" w:rsidP="00AA53F2">
      <w:pPr>
        <w:spacing w:after="0" w:line="240" w:lineRule="auto"/>
        <w:jc w:val="both"/>
        <w:rPr>
          <w:rFonts w:ascii="Times New Roman" w:hAnsi="Times New Roman" w:cs="Times New Roman"/>
        </w:rPr>
      </w:pPr>
    </w:p>
    <w:p w:rsidR="009A15CE" w:rsidRPr="00FA7F54" w:rsidRDefault="009A15CE" w:rsidP="00922D60">
      <w:pPr>
        <w:pStyle w:val="Odlomakpopisa"/>
        <w:numPr>
          <w:ilvl w:val="0"/>
          <w:numId w:val="4"/>
        </w:numPr>
        <w:spacing w:line="240" w:lineRule="auto"/>
        <w:ind w:left="567" w:hanging="567"/>
        <w:jc w:val="both"/>
        <w:outlineLvl w:val="0"/>
        <w:rPr>
          <w:rFonts w:ascii="Times New Roman" w:hAnsi="Times New Roman" w:cs="Times New Roman"/>
        </w:rPr>
      </w:pPr>
      <w:bookmarkStart w:id="0" w:name="_Toc434411170"/>
      <w:bookmarkStart w:id="1" w:name="_Toc436402313"/>
      <w:r w:rsidRPr="00FA7F54">
        <w:rPr>
          <w:rFonts w:ascii="Times New Roman" w:hAnsi="Times New Roman" w:cs="Times New Roman"/>
        </w:rPr>
        <w:t>UVOD</w:t>
      </w:r>
      <w:bookmarkEnd w:id="0"/>
      <w:bookmarkEnd w:id="1"/>
    </w:p>
    <w:p w:rsidR="004F42C1" w:rsidRPr="00FA7F54" w:rsidRDefault="004F42C1" w:rsidP="0086063C">
      <w:pPr>
        <w:spacing w:after="0" w:line="240" w:lineRule="auto"/>
        <w:jc w:val="both"/>
        <w:rPr>
          <w:rFonts w:ascii="Times New Roman" w:hAnsi="Times New Roman" w:cs="Times New Roman"/>
        </w:rPr>
      </w:pPr>
      <w:r w:rsidRPr="00FA7F54">
        <w:rPr>
          <w:rFonts w:ascii="Times New Roman" w:hAnsi="Times New Roman" w:cs="Times New Roman"/>
        </w:rPr>
        <w:t xml:space="preserve">Vlada Republike Hrvatske </w:t>
      </w:r>
      <w:r w:rsidR="00014799">
        <w:rPr>
          <w:rFonts w:ascii="Times New Roman" w:hAnsi="Times New Roman" w:cs="Times New Roman"/>
        </w:rPr>
        <w:t xml:space="preserve">(dalje u tekstu: Vlada) </w:t>
      </w:r>
      <w:r w:rsidRPr="00FA7F54">
        <w:rPr>
          <w:rFonts w:ascii="Times New Roman" w:hAnsi="Times New Roman" w:cs="Times New Roman"/>
        </w:rPr>
        <w:t xml:space="preserve">je na sjednici od 23. travnja 2015. prihvatila Prijedlog  </w:t>
      </w:r>
      <w:r w:rsidR="00A6086D">
        <w:rPr>
          <w:rFonts w:ascii="Times New Roman" w:hAnsi="Times New Roman" w:cs="Times New Roman"/>
        </w:rPr>
        <w:t>n</w:t>
      </w:r>
      <w:r w:rsidR="00A6086D" w:rsidRPr="00FA7F54">
        <w:rPr>
          <w:rFonts w:ascii="Times New Roman" w:hAnsi="Times New Roman" w:cs="Times New Roman"/>
        </w:rPr>
        <w:t xml:space="preserve">acionalnog </w:t>
      </w:r>
      <w:r w:rsidRPr="00FA7F54">
        <w:rPr>
          <w:rFonts w:ascii="Times New Roman" w:hAnsi="Times New Roman" w:cs="Times New Roman"/>
        </w:rPr>
        <w:t xml:space="preserve">programa reformi </w:t>
      </w:r>
      <w:r w:rsidR="00014799">
        <w:rPr>
          <w:rFonts w:ascii="Times New Roman" w:hAnsi="Times New Roman" w:cs="Times New Roman"/>
        </w:rPr>
        <w:t xml:space="preserve">(dalje u tekstu: Nacionalni program reformi) </w:t>
      </w:r>
      <w:r w:rsidRPr="00FA7F54">
        <w:rPr>
          <w:rFonts w:ascii="Times New Roman" w:hAnsi="Times New Roman" w:cs="Times New Roman"/>
        </w:rPr>
        <w:t xml:space="preserve">koji </w:t>
      </w:r>
      <w:r w:rsidR="00014799">
        <w:rPr>
          <w:rFonts w:ascii="Times New Roman" w:hAnsi="Times New Roman" w:cs="Times New Roman"/>
        </w:rPr>
        <w:t xml:space="preserve">Republika </w:t>
      </w:r>
      <w:r w:rsidRPr="00FA7F54">
        <w:rPr>
          <w:rFonts w:ascii="Times New Roman" w:hAnsi="Times New Roman" w:cs="Times New Roman"/>
        </w:rPr>
        <w:t xml:space="preserve">Hrvatska podnosi Europskoj komisiji, a u kojem se navode planovi i postupci Vlade radi otklanjanja makroekonomskih neravnoteža. U navedenom dokumentu </w:t>
      </w:r>
      <w:r w:rsidR="00A6086D">
        <w:rPr>
          <w:rFonts w:ascii="Times New Roman" w:hAnsi="Times New Roman" w:cs="Times New Roman"/>
        </w:rPr>
        <w:t>definirana su</w:t>
      </w:r>
      <w:r w:rsidRPr="00FA7F54">
        <w:rPr>
          <w:rFonts w:ascii="Times New Roman" w:hAnsi="Times New Roman" w:cs="Times New Roman"/>
        </w:rPr>
        <w:t xml:space="preserve"> tri glavna cilja </w:t>
      </w:r>
      <w:r w:rsidR="00014799">
        <w:rPr>
          <w:rFonts w:ascii="Times New Roman" w:hAnsi="Times New Roman" w:cs="Times New Roman"/>
        </w:rPr>
        <w:t>čijem će se ostvarenju težiti</w:t>
      </w:r>
      <w:r w:rsidRPr="00FA7F54">
        <w:rPr>
          <w:rFonts w:ascii="Times New Roman" w:hAnsi="Times New Roman" w:cs="Times New Roman"/>
        </w:rPr>
        <w:t xml:space="preserve"> u idućem kratkoročnom i srednjoročnom razdoblju:</w:t>
      </w:r>
    </w:p>
    <w:p w:rsidR="004F42C1" w:rsidRPr="00FA7F54" w:rsidRDefault="004F42C1" w:rsidP="0086063C">
      <w:pPr>
        <w:pStyle w:val="Odlomakpopisa"/>
        <w:numPr>
          <w:ilvl w:val="0"/>
          <w:numId w:val="3"/>
        </w:numPr>
        <w:autoSpaceDE w:val="0"/>
        <w:autoSpaceDN w:val="0"/>
        <w:adjustRightInd w:val="0"/>
        <w:spacing w:after="0" w:line="240" w:lineRule="auto"/>
        <w:ind w:left="709" w:firstLine="0"/>
        <w:jc w:val="both"/>
        <w:rPr>
          <w:rFonts w:ascii="Times New Roman" w:hAnsi="Times New Roman" w:cs="Times New Roman"/>
        </w:rPr>
      </w:pPr>
      <w:r w:rsidRPr="00FA7F54">
        <w:rPr>
          <w:rFonts w:ascii="Times New Roman" w:hAnsi="Times New Roman" w:cs="Times New Roman"/>
        </w:rPr>
        <w:t xml:space="preserve">Promicanje rasta, vanjske konkurentnosti i ponovna uspostava ravnoteža u hrvatskom gospodarstvu </w:t>
      </w:r>
    </w:p>
    <w:p w:rsidR="004F42C1" w:rsidRPr="00FA7F54" w:rsidRDefault="004F42C1" w:rsidP="0086063C">
      <w:pPr>
        <w:pStyle w:val="Odlomakpopisa"/>
        <w:numPr>
          <w:ilvl w:val="0"/>
          <w:numId w:val="3"/>
        </w:numPr>
        <w:autoSpaceDE w:val="0"/>
        <w:autoSpaceDN w:val="0"/>
        <w:adjustRightInd w:val="0"/>
        <w:spacing w:after="0" w:line="240" w:lineRule="auto"/>
        <w:ind w:left="709" w:firstLine="0"/>
        <w:jc w:val="both"/>
        <w:rPr>
          <w:rFonts w:ascii="Times New Roman" w:hAnsi="Times New Roman" w:cs="Times New Roman"/>
        </w:rPr>
      </w:pPr>
      <w:r w:rsidRPr="00FA7F54">
        <w:rPr>
          <w:rFonts w:ascii="Times New Roman" w:hAnsi="Times New Roman" w:cs="Times New Roman"/>
        </w:rPr>
        <w:t xml:space="preserve">Rješavanje slabosti u upravljanju i povećanje učinkovitosti javnog sektora </w:t>
      </w:r>
    </w:p>
    <w:p w:rsidR="004F42C1" w:rsidRPr="00FA7F54" w:rsidRDefault="004F42C1" w:rsidP="0086063C">
      <w:pPr>
        <w:pStyle w:val="Odlomakpopisa"/>
        <w:numPr>
          <w:ilvl w:val="0"/>
          <w:numId w:val="3"/>
        </w:numPr>
        <w:autoSpaceDE w:val="0"/>
        <w:autoSpaceDN w:val="0"/>
        <w:adjustRightInd w:val="0"/>
        <w:spacing w:after="0" w:line="240" w:lineRule="auto"/>
        <w:ind w:left="709" w:firstLine="0"/>
        <w:jc w:val="both"/>
        <w:rPr>
          <w:rFonts w:ascii="Times New Roman" w:hAnsi="Times New Roman" w:cs="Times New Roman"/>
        </w:rPr>
      </w:pPr>
      <w:r w:rsidRPr="00FA7F54">
        <w:rPr>
          <w:rFonts w:ascii="Times New Roman" w:hAnsi="Times New Roman" w:cs="Times New Roman"/>
        </w:rPr>
        <w:t>Povećanje održivosti duga opće države i jačanje upravljanja javnim financijama</w:t>
      </w:r>
      <w:r w:rsidR="0086063C">
        <w:rPr>
          <w:rFonts w:ascii="Times New Roman" w:hAnsi="Times New Roman" w:cs="Times New Roman"/>
        </w:rPr>
        <w:t>.</w:t>
      </w:r>
      <w:r w:rsidRPr="00FA7F54">
        <w:rPr>
          <w:rFonts w:ascii="Times New Roman" w:hAnsi="Times New Roman" w:cs="Times New Roman"/>
        </w:rPr>
        <w:t xml:space="preserve"> </w:t>
      </w:r>
    </w:p>
    <w:p w:rsidR="000E6563" w:rsidRPr="00FA7F54" w:rsidRDefault="00AB5C9B" w:rsidP="0086063C">
      <w:pPr>
        <w:spacing w:after="0" w:line="240" w:lineRule="auto"/>
        <w:jc w:val="both"/>
        <w:rPr>
          <w:rFonts w:ascii="Times New Roman" w:hAnsi="Times New Roman" w:cs="Times New Roman"/>
        </w:rPr>
      </w:pPr>
      <w:r w:rsidRPr="00FA7F54">
        <w:rPr>
          <w:rFonts w:ascii="Times New Roman" w:hAnsi="Times New Roman" w:cs="Times New Roman"/>
        </w:rPr>
        <w:t>Vezano za ispunjavanje trećeg cilja, okviru dijela p</w:t>
      </w:r>
      <w:r w:rsidR="00B04BC7" w:rsidRPr="00FA7F54">
        <w:rPr>
          <w:rFonts w:ascii="Times New Roman" w:hAnsi="Times New Roman" w:cs="Times New Roman"/>
        </w:rPr>
        <w:t>reporuke br. 1 koja se odnosi na detaljno preispitivanje rashoda, Vlada je donijela Odluku o provođenju dubinske analize rashoda Državnog proračuna Republike Hrvatske (</w:t>
      </w:r>
      <w:r w:rsidR="00014799">
        <w:rPr>
          <w:rFonts w:ascii="Times New Roman" w:hAnsi="Times New Roman" w:cs="Times New Roman"/>
        </w:rPr>
        <w:t>Narodne novine</w:t>
      </w:r>
      <w:r w:rsidR="00B04BC7" w:rsidRPr="00FA7F54">
        <w:rPr>
          <w:rFonts w:ascii="Times New Roman" w:hAnsi="Times New Roman" w:cs="Times New Roman"/>
        </w:rPr>
        <w:t>, br. 124/</w:t>
      </w:r>
      <w:r w:rsidR="00A631B8" w:rsidRPr="00FA7F54">
        <w:rPr>
          <w:rFonts w:ascii="Times New Roman" w:hAnsi="Times New Roman" w:cs="Times New Roman"/>
        </w:rPr>
        <w:t>14) za pet specifičnih kategorija rashoda. U dubinskoj a</w:t>
      </w:r>
      <w:r w:rsidR="00B04BC7" w:rsidRPr="00FA7F54">
        <w:rPr>
          <w:rFonts w:ascii="Times New Roman" w:hAnsi="Times New Roman" w:cs="Times New Roman"/>
        </w:rPr>
        <w:t>naliz</w:t>
      </w:r>
      <w:r w:rsidR="00A631B8" w:rsidRPr="00FA7F54">
        <w:rPr>
          <w:rFonts w:ascii="Times New Roman" w:hAnsi="Times New Roman" w:cs="Times New Roman"/>
        </w:rPr>
        <w:t>i</w:t>
      </w:r>
      <w:r w:rsidR="00B04BC7" w:rsidRPr="00FA7F54">
        <w:rPr>
          <w:rFonts w:ascii="Times New Roman" w:hAnsi="Times New Roman" w:cs="Times New Roman"/>
        </w:rPr>
        <w:t xml:space="preserve"> </w:t>
      </w:r>
      <w:r w:rsidR="00A631B8" w:rsidRPr="00FA7F54">
        <w:rPr>
          <w:rFonts w:ascii="Times New Roman" w:hAnsi="Times New Roman" w:cs="Times New Roman"/>
          <w:color w:val="000000"/>
        </w:rPr>
        <w:t>poslovanja</w:t>
      </w:r>
      <w:r w:rsidR="00B04BC7" w:rsidRPr="00FA7F54">
        <w:rPr>
          <w:rFonts w:ascii="Times New Roman" w:hAnsi="Times New Roman" w:cs="Times New Roman"/>
          <w:color w:val="000000"/>
        </w:rPr>
        <w:t xml:space="preserve"> agencija, zavoda, fondova i drugih pravnih osoba s javnim ovlastima </w:t>
      </w:r>
      <w:r w:rsidR="00A631B8" w:rsidRPr="00FA7F54">
        <w:rPr>
          <w:rFonts w:ascii="Times New Roman" w:eastAsia="Times New Roman" w:hAnsi="Times New Roman" w:cs="Times New Roman"/>
          <w:lang w:eastAsia="hr-HR"/>
        </w:rPr>
        <w:t xml:space="preserve">identificirane su </w:t>
      </w:r>
      <w:r w:rsidR="00A631B8" w:rsidRPr="00FA7F54">
        <w:rPr>
          <w:rFonts w:ascii="Times New Roman" w:hAnsi="Times New Roman" w:cs="Times New Roman"/>
        </w:rPr>
        <w:t>slabosti organizacijskih i financijskih aspekata u</w:t>
      </w:r>
      <w:r w:rsidR="00E44165" w:rsidRPr="00FA7F54">
        <w:rPr>
          <w:rFonts w:ascii="Times New Roman" w:hAnsi="Times New Roman" w:cs="Times New Roman"/>
        </w:rPr>
        <w:t xml:space="preserve"> njihovom</w:t>
      </w:r>
      <w:r w:rsidR="00A631B8" w:rsidRPr="00FA7F54">
        <w:rPr>
          <w:rFonts w:ascii="Times New Roman" w:hAnsi="Times New Roman" w:cs="Times New Roman"/>
        </w:rPr>
        <w:t xml:space="preserve"> poslovanju. </w:t>
      </w:r>
      <w:r w:rsidR="000E6563" w:rsidRPr="00FA7F54">
        <w:rPr>
          <w:rFonts w:ascii="Times New Roman" w:hAnsi="Times New Roman" w:cs="Times New Roman"/>
        </w:rPr>
        <w:t xml:space="preserve">U dijelu analize materijalnih rashoda uočena su znatna odstupanja u cijeni najma poslovnog prostora onih pravnih osoba koje plaćaju najam, kao i raspoloživom prostoru po zaposleniku. Uočena je i neujednačenost u prosječnim rashodima za energiju, tekuće i investicijsko održavanje, vrijednosti i broju nabavljenih vozila kao i u njihovom korištenju. </w:t>
      </w:r>
      <w:r w:rsidR="00014799">
        <w:rPr>
          <w:rFonts w:ascii="Times New Roman" w:hAnsi="Times New Roman" w:cs="Times New Roman"/>
        </w:rPr>
        <w:t>Isto tako z</w:t>
      </w:r>
      <w:r w:rsidR="000E6563" w:rsidRPr="00FA7F54">
        <w:rPr>
          <w:rFonts w:ascii="Times New Roman" w:hAnsi="Times New Roman" w:cs="Times New Roman"/>
        </w:rPr>
        <w:t xml:space="preserve">abrinjavaju visoki iznosi za intelektualne usluge s obzirom na visokokvalificirani kadar koji te pravne osobe zapošljavaju kao i značajni rashodi za računalne usluge, usluge telefona, pošte i prijevoza. </w:t>
      </w:r>
      <w:r w:rsidR="00014799">
        <w:rPr>
          <w:rFonts w:ascii="Times New Roman" w:hAnsi="Times New Roman" w:cs="Times New Roman"/>
        </w:rPr>
        <w:t>Također su u</w:t>
      </w:r>
      <w:r w:rsidR="000E6563" w:rsidRPr="00FA7F54">
        <w:rPr>
          <w:rFonts w:ascii="Times New Roman" w:hAnsi="Times New Roman" w:cs="Times New Roman"/>
        </w:rPr>
        <w:t>očeni neobično visoki iznosi ostalih nespomenutih usluga i ostalih rashoda poslovanja.</w:t>
      </w:r>
    </w:p>
    <w:p w:rsidR="002036FB" w:rsidRPr="00FA7F54" w:rsidRDefault="00317DB2" w:rsidP="001E4046">
      <w:pPr>
        <w:spacing w:line="240" w:lineRule="auto"/>
        <w:jc w:val="both"/>
        <w:rPr>
          <w:rFonts w:ascii="Times New Roman" w:hAnsi="Times New Roman" w:cs="Times New Roman"/>
        </w:rPr>
      </w:pPr>
      <w:r w:rsidRPr="00FA7F54">
        <w:rPr>
          <w:rFonts w:ascii="Times New Roman" w:eastAsia="Times New Roman" w:hAnsi="Times New Roman" w:cs="Times New Roman"/>
          <w:lang w:eastAsia="hr-HR"/>
        </w:rPr>
        <w:t xml:space="preserve">Sukladno nalazima iz dubinske analize u popisu mjera iz Nacionalnog </w:t>
      </w:r>
      <w:r w:rsidR="00014799">
        <w:rPr>
          <w:rFonts w:ascii="Times New Roman" w:eastAsia="Times New Roman" w:hAnsi="Times New Roman" w:cs="Times New Roman"/>
          <w:lang w:eastAsia="hr-HR"/>
        </w:rPr>
        <w:t>programa</w:t>
      </w:r>
      <w:r w:rsidR="00014799" w:rsidRPr="00FA7F54">
        <w:rPr>
          <w:rFonts w:ascii="Times New Roman" w:eastAsia="Times New Roman" w:hAnsi="Times New Roman" w:cs="Times New Roman"/>
          <w:lang w:eastAsia="hr-HR"/>
        </w:rPr>
        <w:t xml:space="preserve"> </w:t>
      </w:r>
      <w:r w:rsidRPr="00FA7F54">
        <w:rPr>
          <w:rFonts w:ascii="Times New Roman" w:eastAsia="Times New Roman" w:hAnsi="Times New Roman" w:cs="Times New Roman"/>
          <w:lang w:eastAsia="hr-HR"/>
        </w:rPr>
        <w:t>reformi navodi se da će se u sklopu Upute za planiranje rashoda propisati optimalni troškovi prema vrstama materijalnih rashoda i provedba mjera za smanjenje materijalnih rashoda u pravnim osobama s javnim ovlastima, te standardi za utvrđivanje broja radnih mjesta u općim (pomoćnim) službama obzirom na opseg posla i druge specifične kriterije vezane za poslovanje pravnih osoba.</w:t>
      </w:r>
      <w:r w:rsidR="00A631B8" w:rsidRPr="00FA7F54">
        <w:rPr>
          <w:rFonts w:ascii="Times New Roman" w:eastAsia="Times New Roman" w:hAnsi="Times New Roman" w:cs="Times New Roman"/>
          <w:lang w:eastAsia="hr-HR"/>
        </w:rPr>
        <w:t xml:space="preserve"> Kako se identificirane slabosti</w:t>
      </w:r>
      <w:r w:rsidR="008A2A01">
        <w:rPr>
          <w:rFonts w:ascii="Times New Roman" w:eastAsia="Times New Roman" w:hAnsi="Times New Roman" w:cs="Times New Roman"/>
          <w:lang w:eastAsia="hr-HR"/>
        </w:rPr>
        <w:t xml:space="preserve"> kod </w:t>
      </w:r>
      <w:r w:rsidR="008A2A01" w:rsidRPr="00FA7F54">
        <w:rPr>
          <w:rFonts w:ascii="Times New Roman" w:hAnsi="Times New Roman" w:cs="Times New Roman"/>
          <w:color w:val="000000"/>
        </w:rPr>
        <w:t>agencija, zavoda, fondova i drugih pravnih osoba s javnim ovlastima</w:t>
      </w:r>
      <w:r w:rsidRPr="00FA7F54">
        <w:rPr>
          <w:rFonts w:ascii="Times New Roman" w:eastAsia="Times New Roman" w:hAnsi="Times New Roman" w:cs="Times New Roman"/>
          <w:lang w:eastAsia="hr-HR"/>
        </w:rPr>
        <w:t xml:space="preserve"> </w:t>
      </w:r>
      <w:r w:rsidR="00A631B8" w:rsidRPr="00FA7F54">
        <w:rPr>
          <w:rFonts w:ascii="Times New Roman" w:hAnsi="Times New Roman" w:cs="Times New Roman"/>
        </w:rPr>
        <w:t>u pretežitom dijelu odnose i na ostale proračunske korisnike, ovim se smjernicama pokreću aktivnosti radi definiranja standarda materijalnih troškova kod</w:t>
      </w:r>
      <w:r w:rsidR="00082BFB">
        <w:rPr>
          <w:rFonts w:ascii="Times New Roman" w:hAnsi="Times New Roman" w:cs="Times New Roman"/>
        </w:rPr>
        <w:t xml:space="preserve"> proračunskih i izvanproračunskih</w:t>
      </w:r>
      <w:r w:rsidR="00A631B8" w:rsidRPr="00FA7F54">
        <w:rPr>
          <w:rFonts w:ascii="Times New Roman" w:hAnsi="Times New Roman" w:cs="Times New Roman"/>
        </w:rPr>
        <w:t xml:space="preserve"> korisnika </w:t>
      </w:r>
      <w:r w:rsidR="00082BFB">
        <w:rPr>
          <w:rFonts w:ascii="Times New Roman" w:hAnsi="Times New Roman" w:cs="Times New Roman"/>
        </w:rPr>
        <w:t>državnog proračuna</w:t>
      </w:r>
      <w:r w:rsidR="00A631B8" w:rsidRPr="00FA7F54">
        <w:rPr>
          <w:rFonts w:ascii="Times New Roman" w:hAnsi="Times New Roman" w:cs="Times New Roman"/>
        </w:rPr>
        <w:t>.</w:t>
      </w:r>
    </w:p>
    <w:p w:rsidR="00813BDD" w:rsidRPr="00FA7F54" w:rsidRDefault="00813BDD" w:rsidP="00922D60">
      <w:pPr>
        <w:pStyle w:val="Naslov1"/>
        <w:numPr>
          <w:ilvl w:val="0"/>
          <w:numId w:val="4"/>
        </w:numPr>
        <w:ind w:left="567" w:hanging="567"/>
        <w:rPr>
          <w:rFonts w:ascii="Times New Roman" w:hAnsi="Times New Roman" w:cs="Times New Roman"/>
          <w:b w:val="0"/>
          <w:color w:val="auto"/>
          <w:sz w:val="22"/>
          <w:szCs w:val="22"/>
        </w:rPr>
      </w:pPr>
      <w:bookmarkStart w:id="2" w:name="_Toc434411171"/>
      <w:bookmarkStart w:id="3" w:name="_Toc436402314"/>
      <w:r w:rsidRPr="00FA7F54">
        <w:rPr>
          <w:rFonts w:ascii="Times New Roman" w:hAnsi="Times New Roman" w:cs="Times New Roman"/>
          <w:b w:val="0"/>
          <w:color w:val="auto"/>
          <w:sz w:val="22"/>
          <w:szCs w:val="22"/>
        </w:rPr>
        <w:t>DEFINIRANJE STANDARDNOG TROŠKA</w:t>
      </w:r>
      <w:bookmarkEnd w:id="2"/>
      <w:bookmarkEnd w:id="3"/>
    </w:p>
    <w:p w:rsidR="00A631B8" w:rsidRPr="00FA7F54" w:rsidRDefault="00A631B8" w:rsidP="00A631B8">
      <w:pPr>
        <w:spacing w:line="240" w:lineRule="auto"/>
        <w:jc w:val="both"/>
        <w:rPr>
          <w:rFonts w:ascii="Times New Roman" w:hAnsi="Times New Roman" w:cs="Times New Roman"/>
        </w:rPr>
      </w:pPr>
      <w:r w:rsidRPr="00FA7F54">
        <w:rPr>
          <w:rFonts w:ascii="Times New Roman" w:hAnsi="Times New Roman" w:cs="Times New Roman"/>
        </w:rPr>
        <w:t>U okolnostima potrebe smanjenja rashodovne strane državnog proračuna, linearno smanjenje materijalnih rashoda više nije održivo te često dovodi do povećanja dospjelih, a nepodmirenih obveza. Provedba strukturnih reformi kojima se postižu realne uštede te uspostavlja bolja kontrola nad planiranjem i izvršavanjem rashoda postaje nužnost.</w:t>
      </w:r>
    </w:p>
    <w:p w:rsidR="00A631B8" w:rsidRPr="00FA7F54" w:rsidRDefault="00A57883" w:rsidP="00A631B8">
      <w:pPr>
        <w:spacing w:line="240" w:lineRule="auto"/>
        <w:jc w:val="both"/>
        <w:rPr>
          <w:rFonts w:ascii="Times New Roman" w:hAnsi="Times New Roman" w:cs="Times New Roman"/>
        </w:rPr>
      </w:pPr>
      <w:r>
        <w:rPr>
          <w:rFonts w:ascii="Times New Roman" w:hAnsi="Times New Roman" w:cs="Times New Roman"/>
        </w:rPr>
        <w:t>Državni ured za reviziju</w:t>
      </w:r>
      <w:r w:rsidR="00A631B8" w:rsidRPr="00FA7F54">
        <w:rPr>
          <w:rFonts w:ascii="Times New Roman" w:hAnsi="Times New Roman" w:cs="Times New Roman"/>
        </w:rPr>
        <w:t xml:space="preserve"> u izvještajima o provedenoj reviziji upozorava na velike razlike u iznosu materijalnih rashoda (skupina 32 iz Računskog plana) po zaposleniku između proračunskih korisnika (od 20.000,00 do 400.000,00 k</w:t>
      </w:r>
      <w:r w:rsidR="00E92E83">
        <w:rPr>
          <w:rFonts w:ascii="Times New Roman" w:hAnsi="Times New Roman" w:cs="Times New Roman"/>
        </w:rPr>
        <w:t>u</w:t>
      </w:r>
      <w:r w:rsidR="00A631B8" w:rsidRPr="00FA7F54">
        <w:rPr>
          <w:rFonts w:ascii="Times New Roman" w:hAnsi="Times New Roman" w:cs="Times New Roman"/>
        </w:rPr>
        <w:t>n</w:t>
      </w:r>
      <w:r w:rsidR="00E92E83">
        <w:rPr>
          <w:rFonts w:ascii="Times New Roman" w:hAnsi="Times New Roman" w:cs="Times New Roman"/>
        </w:rPr>
        <w:t>a</w:t>
      </w:r>
      <w:r w:rsidR="00A631B8" w:rsidRPr="00FA7F54">
        <w:rPr>
          <w:rFonts w:ascii="Times New Roman" w:hAnsi="Times New Roman" w:cs="Times New Roman"/>
        </w:rPr>
        <w:t>) te se predlaže donošenje standarda za pojedine vrste rashoda.</w:t>
      </w:r>
    </w:p>
    <w:p w:rsidR="00A631B8" w:rsidRPr="00FA7F54" w:rsidRDefault="00A631B8" w:rsidP="00A631B8">
      <w:pPr>
        <w:spacing w:line="240" w:lineRule="auto"/>
        <w:jc w:val="both"/>
        <w:rPr>
          <w:rFonts w:ascii="Times New Roman" w:hAnsi="Times New Roman" w:cs="Times New Roman"/>
        </w:rPr>
      </w:pPr>
      <w:r w:rsidRPr="00FA7F54">
        <w:rPr>
          <w:rFonts w:ascii="Times New Roman" w:hAnsi="Times New Roman" w:cs="Times New Roman"/>
        </w:rPr>
        <w:t xml:space="preserve">Izrada financijskog plana na način da se polazi od prošlogodišnjeg plana te uzima u obzir realizacija tijekom godine bez detaljnijeg poznavanja stvarnih uzroka rasta ili smanjenja troškova stvara </w:t>
      </w:r>
      <w:r w:rsidR="002928EA">
        <w:rPr>
          <w:rFonts w:ascii="Times New Roman" w:hAnsi="Times New Roman" w:cs="Times New Roman"/>
        </w:rPr>
        <w:t>pretpostavke</w:t>
      </w:r>
      <w:r w:rsidR="00074A4A" w:rsidRPr="00FA7F54">
        <w:rPr>
          <w:rFonts w:ascii="Times New Roman" w:hAnsi="Times New Roman" w:cs="Times New Roman"/>
        </w:rPr>
        <w:t xml:space="preserve"> </w:t>
      </w:r>
      <w:r w:rsidRPr="00FA7F54">
        <w:rPr>
          <w:rFonts w:ascii="Times New Roman" w:hAnsi="Times New Roman" w:cs="Times New Roman"/>
        </w:rPr>
        <w:t xml:space="preserve">za nerealno planiranje. U svrhu učinkovitijeg kontroliranja materijalnih troškova ostvareni troškovi mogu se uspoređivati sa standardnim troškovima sličnih programa i aktivnosti. Preduvjet za to je da su standardni troškovi utvrđeni te da se prate kroz duže razdoblje. Svrha ovih usporedbi i analiza ostvarenoga je utvrditi razlike, odstupanja u troškovima, revidirati ih i poduzeti odgovarajuće mjere (i odgovornosti) za eventualna odstupanja. </w:t>
      </w:r>
    </w:p>
    <w:p w:rsidR="00A631B8" w:rsidRPr="00FA7F54" w:rsidRDefault="00A631B8" w:rsidP="00A631B8">
      <w:pPr>
        <w:spacing w:line="240" w:lineRule="auto"/>
        <w:jc w:val="both"/>
        <w:rPr>
          <w:rFonts w:ascii="Times New Roman" w:hAnsi="Times New Roman" w:cs="Times New Roman"/>
        </w:rPr>
      </w:pPr>
      <w:r w:rsidRPr="00FA7F54">
        <w:rPr>
          <w:rFonts w:ascii="Times New Roman" w:hAnsi="Times New Roman" w:cs="Times New Roman"/>
        </w:rPr>
        <w:t xml:space="preserve">Ove smjernice polaze od analize financijskih podataka iz financijskih izvještaja (PR-RAS obrazaca) i iz izvještaja o izvršenju državnog proračuna kao i iz kvalitativnih, kvantitativnih i financijskih informacija koje su prikupljene u okviru reformskih mjera radi fiskalne konsolidacije državnog </w:t>
      </w:r>
      <w:r w:rsidRPr="00FA7F54">
        <w:rPr>
          <w:rFonts w:ascii="Times New Roman" w:hAnsi="Times New Roman" w:cs="Times New Roman"/>
        </w:rPr>
        <w:lastRenderedPageBreak/>
        <w:t xml:space="preserve">proračuna. </w:t>
      </w:r>
      <w:r w:rsidR="005768D3">
        <w:rPr>
          <w:rFonts w:ascii="Times New Roman" w:hAnsi="Times New Roman" w:cs="Times New Roman"/>
        </w:rPr>
        <w:t>Također, korišteni su podaci Državnog ureda za središnju javnu nabavu koji je u dijelu predmeta nabave za koje provodi postupke nabave utvrdio optimalne troškove.</w:t>
      </w:r>
    </w:p>
    <w:p w:rsidR="00A631B8" w:rsidRPr="00FA7F54" w:rsidRDefault="00553A05" w:rsidP="00A631B8">
      <w:pPr>
        <w:spacing w:line="240" w:lineRule="auto"/>
        <w:jc w:val="both"/>
        <w:rPr>
          <w:rFonts w:ascii="Times New Roman" w:hAnsi="Times New Roman" w:cs="Times New Roman"/>
        </w:rPr>
      </w:pPr>
      <w:r>
        <w:rPr>
          <w:rFonts w:ascii="Times New Roman" w:hAnsi="Times New Roman" w:cs="Times New Roman"/>
        </w:rPr>
        <w:t>Analize su provedene za rashode u okviru</w:t>
      </w:r>
      <w:r w:rsidR="00A631B8" w:rsidRPr="00FA7F54">
        <w:rPr>
          <w:rFonts w:ascii="Times New Roman" w:hAnsi="Times New Roman" w:cs="Times New Roman"/>
        </w:rPr>
        <w:t xml:space="preserve"> sljedećih podskupina računa :</w:t>
      </w:r>
    </w:p>
    <w:p w:rsidR="00A631B8" w:rsidRPr="00FA7F54" w:rsidRDefault="00A631B8" w:rsidP="00A631B8">
      <w:pPr>
        <w:pStyle w:val="Odlomakpopisa"/>
        <w:numPr>
          <w:ilvl w:val="0"/>
          <w:numId w:val="1"/>
        </w:numPr>
        <w:spacing w:line="240" w:lineRule="auto"/>
        <w:rPr>
          <w:rFonts w:ascii="Times New Roman" w:hAnsi="Times New Roman" w:cs="Times New Roman"/>
        </w:rPr>
      </w:pPr>
      <w:r w:rsidRPr="00FA7F54">
        <w:rPr>
          <w:rFonts w:ascii="Times New Roman" w:hAnsi="Times New Roman" w:cs="Times New Roman"/>
        </w:rPr>
        <w:t xml:space="preserve">321 Naknade troškova zaposlenima </w:t>
      </w:r>
    </w:p>
    <w:p w:rsidR="00A631B8" w:rsidRPr="00FA7F54" w:rsidRDefault="00A631B8" w:rsidP="00A631B8">
      <w:pPr>
        <w:pStyle w:val="Odlomakpopisa"/>
        <w:spacing w:line="240" w:lineRule="auto"/>
        <w:rPr>
          <w:rFonts w:ascii="Times New Roman" w:hAnsi="Times New Roman" w:cs="Times New Roman"/>
        </w:rPr>
      </w:pPr>
      <w:r w:rsidRPr="00FA7F54">
        <w:rPr>
          <w:rFonts w:ascii="Times New Roman" w:hAnsi="Times New Roman" w:cs="Times New Roman"/>
        </w:rPr>
        <w:t>(službena putovanja, naknade za prijevoz, stručno usavršavanje zaposlenika)</w:t>
      </w:r>
    </w:p>
    <w:p w:rsidR="00A631B8" w:rsidRPr="00FA7F54" w:rsidRDefault="00A631B8" w:rsidP="00A631B8">
      <w:pPr>
        <w:pStyle w:val="Odlomakpopisa"/>
        <w:numPr>
          <w:ilvl w:val="0"/>
          <w:numId w:val="1"/>
        </w:numPr>
        <w:spacing w:line="240" w:lineRule="auto"/>
        <w:rPr>
          <w:rFonts w:ascii="Times New Roman" w:hAnsi="Times New Roman" w:cs="Times New Roman"/>
        </w:rPr>
      </w:pPr>
      <w:r w:rsidRPr="00FA7F54">
        <w:rPr>
          <w:rFonts w:ascii="Times New Roman" w:hAnsi="Times New Roman" w:cs="Times New Roman"/>
        </w:rPr>
        <w:t xml:space="preserve">322 Rashodi za materijal i energiju </w:t>
      </w:r>
    </w:p>
    <w:p w:rsidR="00A631B8" w:rsidRPr="00FA7F54" w:rsidRDefault="00A631B8" w:rsidP="00A631B8">
      <w:pPr>
        <w:pStyle w:val="Odlomakpopisa"/>
        <w:spacing w:line="240" w:lineRule="auto"/>
        <w:rPr>
          <w:rFonts w:ascii="Times New Roman" w:hAnsi="Times New Roman" w:cs="Times New Roman"/>
        </w:rPr>
      </w:pPr>
      <w:r w:rsidRPr="00FA7F54">
        <w:rPr>
          <w:rFonts w:ascii="Times New Roman" w:hAnsi="Times New Roman" w:cs="Times New Roman"/>
        </w:rPr>
        <w:t>(uredski i ostali materijal, energija, materijal za investicijsko održavanje, sitni inventar)</w:t>
      </w:r>
    </w:p>
    <w:p w:rsidR="00A631B8" w:rsidRPr="00FA7F54" w:rsidRDefault="00A631B8" w:rsidP="00A631B8">
      <w:pPr>
        <w:pStyle w:val="Odlomakpopisa"/>
        <w:numPr>
          <w:ilvl w:val="0"/>
          <w:numId w:val="1"/>
        </w:numPr>
        <w:spacing w:line="240" w:lineRule="auto"/>
        <w:rPr>
          <w:rFonts w:ascii="Times New Roman" w:hAnsi="Times New Roman" w:cs="Times New Roman"/>
        </w:rPr>
      </w:pPr>
      <w:r w:rsidRPr="00FA7F54">
        <w:rPr>
          <w:rFonts w:ascii="Times New Roman" w:hAnsi="Times New Roman" w:cs="Times New Roman"/>
        </w:rPr>
        <w:t xml:space="preserve">323 Rashodi za usluge </w:t>
      </w:r>
    </w:p>
    <w:p w:rsidR="00A631B8" w:rsidRPr="00FA7F54" w:rsidRDefault="00A631B8" w:rsidP="00A631B8">
      <w:pPr>
        <w:pStyle w:val="Odlomakpopisa"/>
        <w:spacing w:line="240" w:lineRule="auto"/>
        <w:rPr>
          <w:rFonts w:ascii="Times New Roman" w:hAnsi="Times New Roman" w:cs="Times New Roman"/>
        </w:rPr>
      </w:pPr>
      <w:r w:rsidRPr="00FA7F54">
        <w:rPr>
          <w:rFonts w:ascii="Times New Roman" w:hAnsi="Times New Roman" w:cs="Times New Roman"/>
        </w:rPr>
        <w:t>(telefon i pošta, usluge investicijskog održavanja, promidžba, komunalne usluge, zakupnine i najamnine, intelektualne, računalne i ostale usluge)</w:t>
      </w:r>
    </w:p>
    <w:p w:rsidR="00A631B8" w:rsidRPr="00FA7F54" w:rsidRDefault="00A631B8" w:rsidP="00A631B8">
      <w:pPr>
        <w:pStyle w:val="Odlomakpopisa"/>
        <w:numPr>
          <w:ilvl w:val="0"/>
          <w:numId w:val="1"/>
        </w:numPr>
        <w:spacing w:line="240" w:lineRule="auto"/>
        <w:rPr>
          <w:rFonts w:ascii="Times New Roman" w:hAnsi="Times New Roman" w:cs="Times New Roman"/>
        </w:rPr>
      </w:pPr>
      <w:r w:rsidRPr="00FA7F54">
        <w:rPr>
          <w:rFonts w:ascii="Times New Roman" w:hAnsi="Times New Roman" w:cs="Times New Roman"/>
        </w:rPr>
        <w:t xml:space="preserve">324 Naknade troškova osobama izvan radnog odnosa </w:t>
      </w:r>
    </w:p>
    <w:p w:rsidR="00A631B8" w:rsidRPr="00FA7F54" w:rsidRDefault="00A631B8" w:rsidP="00A631B8">
      <w:pPr>
        <w:pStyle w:val="Odlomakpopisa"/>
        <w:spacing w:line="240" w:lineRule="auto"/>
        <w:rPr>
          <w:rFonts w:ascii="Times New Roman" w:hAnsi="Times New Roman" w:cs="Times New Roman"/>
        </w:rPr>
      </w:pPr>
      <w:r w:rsidRPr="00FA7F54">
        <w:rPr>
          <w:rFonts w:ascii="Times New Roman" w:hAnsi="Times New Roman" w:cs="Times New Roman"/>
        </w:rPr>
        <w:t>(službenog puta)</w:t>
      </w:r>
    </w:p>
    <w:p w:rsidR="00A631B8" w:rsidRPr="00FA7F54" w:rsidRDefault="00A631B8" w:rsidP="00A631B8">
      <w:pPr>
        <w:pStyle w:val="Odlomakpopisa"/>
        <w:numPr>
          <w:ilvl w:val="0"/>
          <w:numId w:val="1"/>
        </w:numPr>
        <w:spacing w:line="240" w:lineRule="auto"/>
        <w:rPr>
          <w:rFonts w:ascii="Times New Roman" w:hAnsi="Times New Roman" w:cs="Times New Roman"/>
        </w:rPr>
      </w:pPr>
      <w:r w:rsidRPr="00FA7F54">
        <w:rPr>
          <w:rFonts w:ascii="Times New Roman" w:hAnsi="Times New Roman" w:cs="Times New Roman"/>
        </w:rPr>
        <w:t xml:space="preserve">329 Ostali nespomenuti rashodi poslovanja </w:t>
      </w:r>
    </w:p>
    <w:p w:rsidR="00A631B8" w:rsidRPr="00FA7F54" w:rsidRDefault="00A631B8" w:rsidP="00A631B8">
      <w:pPr>
        <w:pStyle w:val="Odlomakpopisa"/>
        <w:spacing w:line="240" w:lineRule="auto"/>
        <w:rPr>
          <w:rFonts w:ascii="Times New Roman" w:hAnsi="Times New Roman" w:cs="Times New Roman"/>
        </w:rPr>
      </w:pPr>
      <w:r w:rsidRPr="00FA7F54">
        <w:rPr>
          <w:rFonts w:ascii="Times New Roman" w:hAnsi="Times New Roman" w:cs="Times New Roman"/>
        </w:rPr>
        <w:t>(naknade za rad predstavničkih i izvršnih tijela, povjerenstava, premije osiguranja, reprezentacija, članarine i ostali nespomenuti rashodi)</w:t>
      </w:r>
    </w:p>
    <w:p w:rsidR="00163811" w:rsidRPr="000D7A81" w:rsidRDefault="00A631B8" w:rsidP="00A631B8">
      <w:pPr>
        <w:spacing w:line="240" w:lineRule="auto"/>
        <w:jc w:val="both"/>
        <w:rPr>
          <w:rFonts w:ascii="Times New Roman" w:hAnsi="Times New Roman" w:cs="Times New Roman"/>
          <w:b/>
        </w:rPr>
      </w:pPr>
      <w:r w:rsidRPr="000D7A81">
        <w:rPr>
          <w:rFonts w:ascii="Times New Roman" w:hAnsi="Times New Roman" w:cs="Times New Roman"/>
          <w:b/>
        </w:rPr>
        <w:t>Cilj je uspostaviti standarde upravljanja materijalnim rashodima, uvesti kontinuirano praćenje efikasnosti i dobre prakse upravljanja materijalnim rashodima korisnika čiji se materijalni rashodi u cijelosti ili djelomično financira</w:t>
      </w:r>
      <w:r w:rsidR="006A72C2" w:rsidRPr="000D7A81">
        <w:rPr>
          <w:rFonts w:ascii="Times New Roman" w:hAnsi="Times New Roman" w:cs="Times New Roman"/>
          <w:b/>
        </w:rPr>
        <w:t xml:space="preserve">ju iz državnog proračuna te ih </w:t>
      </w:r>
      <w:r w:rsidRPr="000D7A81">
        <w:rPr>
          <w:rFonts w:ascii="Times New Roman" w:hAnsi="Times New Roman" w:cs="Times New Roman"/>
          <w:b/>
        </w:rPr>
        <w:t xml:space="preserve">unapređivati putem odluka, uputa i drugih </w:t>
      </w:r>
      <w:r w:rsidR="000C625A" w:rsidRPr="000D7A81">
        <w:rPr>
          <w:rFonts w:ascii="Times New Roman" w:hAnsi="Times New Roman" w:cs="Times New Roman"/>
          <w:b/>
        </w:rPr>
        <w:t>propisa</w:t>
      </w:r>
      <w:r w:rsidRPr="000D7A81">
        <w:rPr>
          <w:rFonts w:ascii="Times New Roman" w:hAnsi="Times New Roman" w:cs="Times New Roman"/>
          <w:b/>
        </w:rPr>
        <w:t xml:space="preserve">.  </w:t>
      </w:r>
    </w:p>
    <w:p w:rsidR="00813BDD" w:rsidRPr="00FA7F54" w:rsidRDefault="00813BDD" w:rsidP="00B111F4">
      <w:pPr>
        <w:spacing w:after="0" w:line="240" w:lineRule="auto"/>
        <w:jc w:val="both"/>
        <w:rPr>
          <w:rFonts w:ascii="Times New Roman" w:hAnsi="Times New Roman" w:cs="Times New Roman"/>
        </w:rPr>
      </w:pPr>
      <w:r w:rsidRPr="00FA7F54">
        <w:rPr>
          <w:rFonts w:ascii="Times New Roman" w:hAnsi="Times New Roman" w:cs="Times New Roman"/>
        </w:rPr>
        <w:t>Ovisno o tome koliko se mogu predvidjeti, odnosno normirati, troškovi se mogu klasificirati na:</w:t>
      </w:r>
    </w:p>
    <w:p w:rsidR="00813BDD" w:rsidRPr="00FA7F54" w:rsidRDefault="00813BDD" w:rsidP="00B111F4">
      <w:pPr>
        <w:pStyle w:val="Odlomakpopisa"/>
        <w:numPr>
          <w:ilvl w:val="0"/>
          <w:numId w:val="1"/>
        </w:numPr>
        <w:spacing w:after="0" w:line="240" w:lineRule="auto"/>
        <w:jc w:val="both"/>
        <w:rPr>
          <w:rFonts w:ascii="Times New Roman" w:hAnsi="Times New Roman" w:cs="Times New Roman"/>
        </w:rPr>
      </w:pPr>
      <w:r w:rsidRPr="00FA7F54">
        <w:rPr>
          <w:rFonts w:ascii="Times New Roman" w:hAnsi="Times New Roman" w:cs="Times New Roman"/>
        </w:rPr>
        <w:t>standardne troškove</w:t>
      </w:r>
    </w:p>
    <w:p w:rsidR="00813BDD" w:rsidRPr="00FA7F54" w:rsidRDefault="00813BDD" w:rsidP="00813BDD">
      <w:pPr>
        <w:pStyle w:val="Odlomakpopisa"/>
        <w:numPr>
          <w:ilvl w:val="0"/>
          <w:numId w:val="1"/>
        </w:numPr>
        <w:spacing w:line="240" w:lineRule="auto"/>
        <w:jc w:val="both"/>
        <w:rPr>
          <w:rFonts w:ascii="Times New Roman" w:hAnsi="Times New Roman" w:cs="Times New Roman"/>
        </w:rPr>
      </w:pPr>
      <w:r w:rsidRPr="00FA7F54">
        <w:rPr>
          <w:rFonts w:ascii="Times New Roman" w:hAnsi="Times New Roman" w:cs="Times New Roman"/>
        </w:rPr>
        <w:t>čiste planske troškove (oni koje je moguće planirati s velikom pouzdanošću da će se realizirati)</w:t>
      </w:r>
    </w:p>
    <w:p w:rsidR="00813BDD" w:rsidRPr="00FA7F54" w:rsidRDefault="00813BDD" w:rsidP="00813BDD">
      <w:pPr>
        <w:pStyle w:val="Odlomakpopisa"/>
        <w:numPr>
          <w:ilvl w:val="0"/>
          <w:numId w:val="1"/>
        </w:numPr>
        <w:spacing w:line="240" w:lineRule="auto"/>
        <w:jc w:val="both"/>
        <w:rPr>
          <w:rFonts w:ascii="Times New Roman" w:hAnsi="Times New Roman" w:cs="Times New Roman"/>
        </w:rPr>
      </w:pPr>
      <w:r w:rsidRPr="00FA7F54">
        <w:rPr>
          <w:rFonts w:ascii="Times New Roman" w:hAnsi="Times New Roman" w:cs="Times New Roman"/>
        </w:rPr>
        <w:t>fleksibilne planske troškove (oni koje je teško pouzdano planirati).</w:t>
      </w:r>
    </w:p>
    <w:p w:rsidR="00813BDD" w:rsidRPr="00FA7F54" w:rsidRDefault="00813BDD" w:rsidP="00813BDD">
      <w:pPr>
        <w:spacing w:line="240" w:lineRule="auto"/>
        <w:jc w:val="both"/>
        <w:rPr>
          <w:rFonts w:ascii="Times New Roman" w:hAnsi="Times New Roman" w:cs="Times New Roman"/>
        </w:rPr>
      </w:pPr>
      <w:r w:rsidRPr="00FA7F54">
        <w:rPr>
          <w:rFonts w:ascii="Times New Roman" w:hAnsi="Times New Roman" w:cs="Times New Roman"/>
        </w:rPr>
        <w:t>U pružanju usluga treba težiti utvrđivanju standardnih troškova zbog njihovog kontrolnog mehanizma, baze za usporedbu nastalih troškova, dobre podloge za planiranje troškova i slično. Utvrđene standarde treba kontinuirano pratiti, za utvrđena odstupanja raditi analize i sukladno rezultatima analiza raditi promjene u postavljenim standardima.</w:t>
      </w:r>
    </w:p>
    <w:p w:rsidR="00813BDD" w:rsidRPr="00FA7F54" w:rsidRDefault="00813BDD" w:rsidP="00B111F4">
      <w:pPr>
        <w:spacing w:after="0" w:line="240" w:lineRule="auto"/>
        <w:jc w:val="both"/>
        <w:rPr>
          <w:rFonts w:ascii="Times New Roman" w:hAnsi="Times New Roman" w:cs="Times New Roman"/>
        </w:rPr>
      </w:pPr>
      <w:r w:rsidRPr="00FA7F54">
        <w:rPr>
          <w:rFonts w:ascii="Times New Roman" w:hAnsi="Times New Roman" w:cs="Times New Roman"/>
        </w:rPr>
        <w:t>Troškove je moguće klasificirati ovisno o tome kako reagiraju na stupanj aktivnosti pa razlikujemo:</w:t>
      </w:r>
    </w:p>
    <w:p w:rsidR="00813BDD" w:rsidRPr="00FA7F54" w:rsidRDefault="00813BDD" w:rsidP="00B111F4">
      <w:pPr>
        <w:pStyle w:val="Odlomakpopisa"/>
        <w:numPr>
          <w:ilvl w:val="0"/>
          <w:numId w:val="1"/>
        </w:numPr>
        <w:spacing w:after="0" w:line="240" w:lineRule="auto"/>
        <w:jc w:val="both"/>
        <w:rPr>
          <w:rFonts w:ascii="Times New Roman" w:hAnsi="Times New Roman" w:cs="Times New Roman"/>
        </w:rPr>
      </w:pPr>
      <w:r w:rsidRPr="00FA7F54">
        <w:rPr>
          <w:rFonts w:ascii="Times New Roman" w:hAnsi="Times New Roman" w:cs="Times New Roman"/>
        </w:rPr>
        <w:t>fiksne troškove koji ostaju nepromijenjeni bez obzira na promjene u stupnju aktivnosti (npr. trošak najamnine)</w:t>
      </w:r>
    </w:p>
    <w:p w:rsidR="00813BDD" w:rsidRPr="00FA7F54" w:rsidRDefault="00813BDD" w:rsidP="00813BDD">
      <w:pPr>
        <w:pStyle w:val="Odlomakpopisa"/>
        <w:numPr>
          <w:ilvl w:val="0"/>
          <w:numId w:val="1"/>
        </w:numPr>
        <w:spacing w:line="240" w:lineRule="auto"/>
        <w:jc w:val="both"/>
        <w:rPr>
          <w:rFonts w:ascii="Times New Roman" w:hAnsi="Times New Roman" w:cs="Times New Roman"/>
        </w:rPr>
      </w:pPr>
      <w:r w:rsidRPr="00FA7F54">
        <w:rPr>
          <w:rFonts w:ascii="Times New Roman" w:hAnsi="Times New Roman" w:cs="Times New Roman"/>
        </w:rPr>
        <w:t>varijabilne troškove koji se mijenjaju ovisno o promjenama u stupnju aktivnosti (npr. trošak uredskog materijala)</w:t>
      </w:r>
    </w:p>
    <w:p w:rsidR="00813BDD" w:rsidRPr="00FA7F54" w:rsidRDefault="00813BDD" w:rsidP="00813BDD">
      <w:pPr>
        <w:pStyle w:val="Odlomakpopisa"/>
        <w:numPr>
          <w:ilvl w:val="0"/>
          <w:numId w:val="1"/>
        </w:numPr>
        <w:spacing w:line="240" w:lineRule="auto"/>
        <w:jc w:val="both"/>
        <w:rPr>
          <w:rFonts w:ascii="Times New Roman" w:hAnsi="Times New Roman" w:cs="Times New Roman"/>
        </w:rPr>
      </w:pPr>
      <w:proofErr w:type="spellStart"/>
      <w:r w:rsidRPr="00FA7F54">
        <w:rPr>
          <w:rFonts w:ascii="Times New Roman" w:hAnsi="Times New Roman" w:cs="Times New Roman"/>
        </w:rPr>
        <w:t>poluvarijabilne</w:t>
      </w:r>
      <w:proofErr w:type="spellEnd"/>
      <w:r w:rsidRPr="00FA7F54">
        <w:rPr>
          <w:rFonts w:ascii="Times New Roman" w:hAnsi="Times New Roman" w:cs="Times New Roman"/>
        </w:rPr>
        <w:t xml:space="preserve"> ili miješane troškove koji ostaju nepromijenjeni do određenog stupnja aktivnosti, a nakon toga se mijenjaju (npr. trošak telefona koji ima fiksne mjesečne svote i varijabilni dio ovisno o utrošku)</w:t>
      </w:r>
    </w:p>
    <w:p w:rsidR="00813BDD" w:rsidRPr="00FA7F54" w:rsidRDefault="00935159" w:rsidP="00813BDD">
      <w:pPr>
        <w:pStyle w:val="Odlomakpopisa"/>
        <w:numPr>
          <w:ilvl w:val="0"/>
          <w:numId w:val="1"/>
        </w:numPr>
        <w:spacing w:line="240" w:lineRule="auto"/>
        <w:jc w:val="both"/>
        <w:rPr>
          <w:rFonts w:ascii="Times New Roman" w:hAnsi="Times New Roman" w:cs="Times New Roman"/>
        </w:rPr>
      </w:pPr>
      <w:r w:rsidRPr="00FA7F54">
        <w:rPr>
          <w:rFonts w:ascii="Times New Roman" w:hAnsi="Times New Roman" w:cs="Times New Roman"/>
        </w:rPr>
        <w:t>diskrecijske troškove</w:t>
      </w:r>
      <w:r w:rsidR="00813BDD" w:rsidRPr="00FA7F54">
        <w:rPr>
          <w:rFonts w:ascii="Times New Roman" w:hAnsi="Times New Roman" w:cs="Times New Roman"/>
        </w:rPr>
        <w:t xml:space="preserve"> koji nastaju kao posljedica diskrecijskih odluka rukovoditelja (npr. troškovi za stručno usavršavanje zaposlenika).</w:t>
      </w:r>
    </w:p>
    <w:p w:rsidR="00813BDD" w:rsidRPr="00FA7F54" w:rsidRDefault="00813BDD" w:rsidP="00154888">
      <w:pPr>
        <w:jc w:val="both"/>
        <w:rPr>
          <w:rFonts w:ascii="Times New Roman" w:hAnsi="Times New Roman" w:cs="Times New Roman"/>
          <w:b/>
        </w:rPr>
      </w:pPr>
      <w:r w:rsidRPr="00FA7F54">
        <w:rPr>
          <w:rFonts w:ascii="Times New Roman" w:hAnsi="Times New Roman" w:cs="Times New Roman"/>
        </w:rPr>
        <w:t xml:space="preserve">Osim navedenog, troškovi se mogu promatrati ovisno o mogućnostima njihove kontrole od strane rukovoditelja. O </w:t>
      </w:r>
      <w:proofErr w:type="spellStart"/>
      <w:r w:rsidR="00074A4A">
        <w:rPr>
          <w:rFonts w:ascii="Times New Roman" w:hAnsi="Times New Roman" w:cs="Times New Roman"/>
        </w:rPr>
        <w:t>kontrolabilnim</w:t>
      </w:r>
      <w:proofErr w:type="spellEnd"/>
      <w:r w:rsidR="00074A4A" w:rsidRPr="00FA7F54">
        <w:rPr>
          <w:rFonts w:ascii="Times New Roman" w:hAnsi="Times New Roman" w:cs="Times New Roman"/>
        </w:rPr>
        <w:t xml:space="preserve"> </w:t>
      </w:r>
      <w:r w:rsidRPr="00FA7F54">
        <w:rPr>
          <w:rFonts w:ascii="Times New Roman" w:hAnsi="Times New Roman" w:cs="Times New Roman"/>
        </w:rPr>
        <w:t xml:space="preserve">troškovima radi se ako rukovoditelji mogu utjecati na visinu troškova, a ako nemaju utjecaja na visinu pojedinih troškova govorimo o </w:t>
      </w:r>
      <w:proofErr w:type="spellStart"/>
      <w:r w:rsidR="00074A4A">
        <w:rPr>
          <w:rFonts w:ascii="Times New Roman" w:hAnsi="Times New Roman" w:cs="Times New Roman"/>
        </w:rPr>
        <w:t>nekontrolabilnim</w:t>
      </w:r>
      <w:proofErr w:type="spellEnd"/>
      <w:r w:rsidR="00074A4A" w:rsidRPr="00FA7F54">
        <w:rPr>
          <w:rFonts w:ascii="Times New Roman" w:hAnsi="Times New Roman" w:cs="Times New Roman"/>
        </w:rPr>
        <w:t xml:space="preserve"> </w:t>
      </w:r>
      <w:r w:rsidRPr="00FA7F54">
        <w:rPr>
          <w:rFonts w:ascii="Times New Roman" w:hAnsi="Times New Roman" w:cs="Times New Roman"/>
        </w:rPr>
        <w:t xml:space="preserve">troškovima. </w:t>
      </w:r>
    </w:p>
    <w:p w:rsidR="007F520B" w:rsidRPr="00FA7F54" w:rsidRDefault="00813BDD" w:rsidP="009D2567">
      <w:pPr>
        <w:spacing w:line="240" w:lineRule="auto"/>
        <w:jc w:val="both"/>
        <w:rPr>
          <w:rFonts w:ascii="Times New Roman" w:hAnsi="Times New Roman" w:cs="Times New Roman"/>
        </w:rPr>
      </w:pPr>
      <w:r w:rsidRPr="00FA7F54">
        <w:rPr>
          <w:rFonts w:ascii="Times New Roman" w:hAnsi="Times New Roman" w:cs="Times New Roman"/>
        </w:rPr>
        <w:t>Definiranje standardnog troška odnosi se prvenstveno na izvore u limitu</w:t>
      </w:r>
      <w:r w:rsidR="004234E2" w:rsidRPr="00FA7F54">
        <w:rPr>
          <w:rFonts w:ascii="Times New Roman" w:hAnsi="Times New Roman" w:cs="Times New Roman"/>
        </w:rPr>
        <w:t xml:space="preserve"> odnosno izvore koji utječu na deficit</w:t>
      </w:r>
      <w:r w:rsidR="004234E2" w:rsidRPr="00FA7F54">
        <w:rPr>
          <w:rStyle w:val="Referencafusnote"/>
          <w:rFonts w:ascii="Times New Roman" w:hAnsi="Times New Roman" w:cs="Times New Roman"/>
        </w:rPr>
        <w:footnoteReference w:id="1"/>
      </w:r>
      <w:r w:rsidRPr="00FA7F54">
        <w:rPr>
          <w:rFonts w:ascii="Times New Roman" w:hAnsi="Times New Roman" w:cs="Times New Roman"/>
        </w:rPr>
        <w:t>, međutim potrebno je sagledati i ukupne troškove s obzirom da</w:t>
      </w:r>
      <w:r w:rsidR="006A72C2">
        <w:rPr>
          <w:rFonts w:ascii="Times New Roman" w:hAnsi="Times New Roman" w:cs="Times New Roman"/>
        </w:rPr>
        <w:t xml:space="preserve"> korisnici koji ostvaruju prihode </w:t>
      </w:r>
      <w:r w:rsidR="006A72C2">
        <w:rPr>
          <w:rFonts w:ascii="Times New Roman" w:hAnsi="Times New Roman" w:cs="Times New Roman"/>
        </w:rPr>
        <w:lastRenderedPageBreak/>
        <w:t xml:space="preserve">iz drugih izvora (primjerice iz vlastitih prihoda, </w:t>
      </w:r>
      <w:r w:rsidR="006A72C2" w:rsidRPr="00FA7F54">
        <w:rPr>
          <w:rFonts w:ascii="Times New Roman" w:hAnsi="Times New Roman" w:cs="Times New Roman"/>
        </w:rPr>
        <w:t xml:space="preserve"> E</w:t>
      </w:r>
      <w:r w:rsidR="006A72C2">
        <w:rPr>
          <w:rFonts w:ascii="Times New Roman" w:hAnsi="Times New Roman" w:cs="Times New Roman"/>
        </w:rPr>
        <w:t>U pomoći i dr.) imaju mogućnost rasterećenja proračuna za dio rashoda koji se financiraju iz tih izvora.</w:t>
      </w:r>
    </w:p>
    <w:p w:rsidR="00202A87" w:rsidRPr="00FA7F54" w:rsidRDefault="00813BDD" w:rsidP="00922D60">
      <w:pPr>
        <w:pStyle w:val="Naslov1"/>
        <w:numPr>
          <w:ilvl w:val="0"/>
          <w:numId w:val="4"/>
        </w:numPr>
        <w:ind w:left="567" w:hanging="567"/>
        <w:rPr>
          <w:rFonts w:ascii="Times New Roman" w:hAnsi="Times New Roman" w:cs="Times New Roman"/>
          <w:b w:val="0"/>
          <w:color w:val="auto"/>
          <w:sz w:val="22"/>
          <w:szCs w:val="22"/>
        </w:rPr>
      </w:pPr>
      <w:bookmarkStart w:id="4" w:name="_Toc434411172"/>
      <w:bookmarkStart w:id="5" w:name="_Toc436402315"/>
      <w:r w:rsidRPr="00FA7F54">
        <w:rPr>
          <w:rFonts w:ascii="Times New Roman" w:hAnsi="Times New Roman" w:cs="Times New Roman"/>
          <w:b w:val="0"/>
          <w:color w:val="auto"/>
          <w:sz w:val="22"/>
          <w:szCs w:val="22"/>
        </w:rPr>
        <w:t>OBUHVAT ANALIZE RADI DEFINIRANJA STANDARDNIH TROŠKOVA</w:t>
      </w:r>
      <w:bookmarkEnd w:id="4"/>
      <w:bookmarkEnd w:id="5"/>
    </w:p>
    <w:p w:rsidR="00813BDD" w:rsidRPr="00FA7F54" w:rsidRDefault="00813BDD" w:rsidP="00456FEA">
      <w:pPr>
        <w:spacing w:line="240" w:lineRule="auto"/>
        <w:jc w:val="both"/>
        <w:rPr>
          <w:rFonts w:ascii="Times New Roman" w:hAnsi="Times New Roman" w:cs="Times New Roman"/>
        </w:rPr>
      </w:pPr>
      <w:r w:rsidRPr="00FA7F54">
        <w:rPr>
          <w:rFonts w:ascii="Times New Roman" w:hAnsi="Times New Roman" w:cs="Times New Roman"/>
        </w:rPr>
        <w:t>Analiza radi definiranja standardnih troškova obuhvaća proračunske</w:t>
      </w:r>
      <w:r w:rsidR="000418FE">
        <w:rPr>
          <w:rFonts w:ascii="Times New Roman" w:hAnsi="Times New Roman" w:cs="Times New Roman"/>
        </w:rPr>
        <w:t xml:space="preserve"> i izvanproračunske</w:t>
      </w:r>
      <w:r w:rsidRPr="00FA7F54">
        <w:rPr>
          <w:rFonts w:ascii="Times New Roman" w:hAnsi="Times New Roman" w:cs="Times New Roman"/>
        </w:rPr>
        <w:t xml:space="preserve"> korisnike državnog proračuna</w:t>
      </w:r>
      <w:r w:rsidR="00ED1863">
        <w:rPr>
          <w:rFonts w:ascii="Times New Roman" w:hAnsi="Times New Roman" w:cs="Times New Roman"/>
        </w:rPr>
        <w:t xml:space="preserve"> </w:t>
      </w:r>
      <w:r w:rsidR="00074A4A">
        <w:rPr>
          <w:rFonts w:ascii="Times New Roman" w:hAnsi="Times New Roman" w:cs="Times New Roman"/>
        </w:rPr>
        <w:t>(dalje u tekstu: korisnici)</w:t>
      </w:r>
      <w:r w:rsidR="00456FEA" w:rsidRPr="00FA7F54">
        <w:rPr>
          <w:rFonts w:ascii="Times New Roman" w:hAnsi="Times New Roman" w:cs="Times New Roman"/>
        </w:rPr>
        <w:t xml:space="preserve"> upisan</w:t>
      </w:r>
      <w:r w:rsidR="00E13247" w:rsidRPr="00FA7F54">
        <w:rPr>
          <w:rFonts w:ascii="Times New Roman" w:hAnsi="Times New Roman" w:cs="Times New Roman"/>
        </w:rPr>
        <w:t>e</w:t>
      </w:r>
      <w:r w:rsidR="00456FEA" w:rsidRPr="00FA7F54">
        <w:rPr>
          <w:rFonts w:ascii="Times New Roman" w:hAnsi="Times New Roman" w:cs="Times New Roman"/>
        </w:rPr>
        <w:t xml:space="preserve"> u Registru proračunskih i izvanproračunskih korisnika za 2015. godinu (Narodne novine, br. 73/14).</w:t>
      </w:r>
      <w:r w:rsidR="005F1288" w:rsidRPr="00FA7F54">
        <w:rPr>
          <w:rFonts w:ascii="Times New Roman" w:hAnsi="Times New Roman" w:cs="Times New Roman"/>
        </w:rPr>
        <w:t xml:space="preserve"> Registar sadrži </w:t>
      </w:r>
      <w:r w:rsidR="005F1288" w:rsidRPr="00FA7F54">
        <w:rPr>
          <w:rFonts w:ascii="Times New Roman" w:hAnsi="Times New Roman" w:cs="Times New Roman"/>
          <w:b/>
        </w:rPr>
        <w:t>727 proračunskih korisnika državnog proračuna</w:t>
      </w:r>
      <w:r w:rsidR="00AB282F">
        <w:rPr>
          <w:rStyle w:val="Referencafusnote"/>
          <w:rFonts w:ascii="Times New Roman" w:hAnsi="Times New Roman" w:cs="Times New Roman"/>
          <w:b/>
        </w:rPr>
        <w:footnoteReference w:id="2"/>
      </w:r>
      <w:r w:rsidR="005F1288" w:rsidRPr="00FA7F54">
        <w:rPr>
          <w:rFonts w:ascii="Times New Roman" w:hAnsi="Times New Roman" w:cs="Times New Roman"/>
        </w:rPr>
        <w:t xml:space="preserve"> od kojih za njih 10 nisu dostavljeni financijski podaci (</w:t>
      </w:r>
      <w:r w:rsidR="00836819" w:rsidRPr="00FA7F54">
        <w:rPr>
          <w:rFonts w:ascii="Times New Roman" w:hAnsi="Times New Roman" w:cs="Times New Roman"/>
        </w:rPr>
        <w:t xml:space="preserve">primjerice </w:t>
      </w:r>
      <w:r w:rsidR="005F1288" w:rsidRPr="00FA7F54">
        <w:rPr>
          <w:rFonts w:ascii="Times New Roman" w:hAnsi="Times New Roman" w:cs="Times New Roman"/>
        </w:rPr>
        <w:t>nisu</w:t>
      </w:r>
      <w:r w:rsidR="00836819" w:rsidRPr="00FA7F54">
        <w:rPr>
          <w:rFonts w:ascii="Times New Roman" w:hAnsi="Times New Roman" w:cs="Times New Roman"/>
        </w:rPr>
        <w:t xml:space="preserve"> više</w:t>
      </w:r>
      <w:r w:rsidR="005F1288" w:rsidRPr="00FA7F54">
        <w:rPr>
          <w:rFonts w:ascii="Times New Roman" w:hAnsi="Times New Roman" w:cs="Times New Roman"/>
        </w:rPr>
        <w:t xml:space="preserve"> proračunski korisnici, ali nije dostavljen obrazac kojim se ažurira registar i slično).</w:t>
      </w:r>
      <w:r w:rsidR="00510550" w:rsidRPr="00FA7F54">
        <w:rPr>
          <w:rFonts w:ascii="Times New Roman" w:hAnsi="Times New Roman" w:cs="Times New Roman"/>
        </w:rPr>
        <w:t xml:space="preserve"> Iz analize</w:t>
      </w:r>
      <w:r w:rsidR="0075758D" w:rsidRPr="00FA7F54">
        <w:rPr>
          <w:rFonts w:ascii="Times New Roman" w:hAnsi="Times New Roman" w:cs="Times New Roman"/>
        </w:rPr>
        <w:t xml:space="preserve"> po skupinama </w:t>
      </w:r>
      <w:r w:rsidR="00F44241" w:rsidRPr="00FA7F54">
        <w:rPr>
          <w:rFonts w:ascii="Times New Roman" w:hAnsi="Times New Roman" w:cs="Times New Roman"/>
        </w:rPr>
        <w:t>isključena je</w:t>
      </w:r>
      <w:r w:rsidR="00510550" w:rsidRPr="00FA7F54">
        <w:rPr>
          <w:rFonts w:ascii="Times New Roman" w:hAnsi="Times New Roman" w:cs="Times New Roman"/>
        </w:rPr>
        <w:t xml:space="preserve"> Sigurnosno-obavještajna agencija</w:t>
      </w:r>
      <w:r w:rsidR="000369B5" w:rsidRPr="00FA7F54">
        <w:rPr>
          <w:rFonts w:ascii="Times New Roman" w:hAnsi="Times New Roman" w:cs="Times New Roman"/>
        </w:rPr>
        <w:t xml:space="preserve"> zbog tajnosti podataka.</w:t>
      </w:r>
    </w:p>
    <w:p w:rsidR="00813BDD" w:rsidRPr="00FA7F54" w:rsidRDefault="003D4BEE" w:rsidP="00C83540">
      <w:pPr>
        <w:spacing w:line="240" w:lineRule="auto"/>
        <w:rPr>
          <w:rFonts w:ascii="Times New Roman" w:hAnsi="Times New Roman" w:cs="Times New Roman"/>
        </w:rPr>
      </w:pPr>
      <w:r w:rsidRPr="00FA7F54">
        <w:rPr>
          <w:rFonts w:ascii="Times New Roman" w:hAnsi="Times New Roman" w:cs="Times New Roman"/>
        </w:rPr>
        <w:t>Svi proračunski korisnici državnog proračuna su u analizi grupirani u sljedeće skupine:</w:t>
      </w:r>
    </w:p>
    <w:p w:rsidR="003D4BEE" w:rsidRPr="00FA7F54" w:rsidRDefault="003D4BEE" w:rsidP="00472068">
      <w:pPr>
        <w:pStyle w:val="Odlomakpopisa"/>
        <w:numPr>
          <w:ilvl w:val="0"/>
          <w:numId w:val="1"/>
        </w:numPr>
        <w:spacing w:line="240" w:lineRule="auto"/>
        <w:jc w:val="both"/>
        <w:rPr>
          <w:rFonts w:ascii="Times New Roman" w:hAnsi="Times New Roman" w:cs="Times New Roman"/>
        </w:rPr>
      </w:pPr>
      <w:r w:rsidRPr="00FA7F54">
        <w:rPr>
          <w:rFonts w:ascii="Times New Roman" w:hAnsi="Times New Roman" w:cs="Times New Roman"/>
        </w:rPr>
        <w:t>Hrvatski sabor</w:t>
      </w:r>
    </w:p>
    <w:p w:rsidR="003D4BEE" w:rsidRPr="00FA7F54" w:rsidRDefault="0099312C" w:rsidP="00472068">
      <w:pPr>
        <w:pStyle w:val="Odlomakpopisa"/>
        <w:numPr>
          <w:ilvl w:val="0"/>
          <w:numId w:val="1"/>
        </w:numPr>
        <w:spacing w:line="240" w:lineRule="auto"/>
        <w:jc w:val="both"/>
        <w:rPr>
          <w:rFonts w:ascii="Times New Roman" w:hAnsi="Times New Roman" w:cs="Times New Roman"/>
        </w:rPr>
      </w:pPr>
      <w:r w:rsidRPr="00FA7F54">
        <w:rPr>
          <w:rFonts w:ascii="Times New Roman" w:hAnsi="Times New Roman" w:cs="Times New Roman"/>
        </w:rPr>
        <w:t>Ured P</w:t>
      </w:r>
      <w:r w:rsidR="003D4BEE" w:rsidRPr="00FA7F54">
        <w:rPr>
          <w:rFonts w:ascii="Times New Roman" w:hAnsi="Times New Roman" w:cs="Times New Roman"/>
        </w:rPr>
        <w:t>redsjednika</w:t>
      </w:r>
    </w:p>
    <w:p w:rsidR="003D4BEE" w:rsidRPr="00FA7F54" w:rsidRDefault="003D4BEE" w:rsidP="00472068">
      <w:pPr>
        <w:pStyle w:val="Odlomakpopisa"/>
        <w:numPr>
          <w:ilvl w:val="0"/>
          <w:numId w:val="1"/>
        </w:numPr>
        <w:spacing w:line="240" w:lineRule="auto"/>
        <w:jc w:val="both"/>
        <w:rPr>
          <w:rFonts w:ascii="Times New Roman" w:hAnsi="Times New Roman" w:cs="Times New Roman"/>
        </w:rPr>
      </w:pPr>
      <w:r w:rsidRPr="00FA7F54">
        <w:rPr>
          <w:rFonts w:ascii="Times New Roman" w:hAnsi="Times New Roman" w:cs="Times New Roman"/>
        </w:rPr>
        <w:t>Tijela izvršne vlasti</w:t>
      </w:r>
      <w:r w:rsidR="003D46C1" w:rsidRPr="00FA7F54">
        <w:rPr>
          <w:rFonts w:ascii="Times New Roman" w:hAnsi="Times New Roman" w:cs="Times New Roman"/>
        </w:rPr>
        <w:t xml:space="preserve"> (</w:t>
      </w:r>
      <w:r w:rsidR="0070467E" w:rsidRPr="00FA7F54">
        <w:rPr>
          <w:rFonts w:ascii="Times New Roman" w:hAnsi="Times New Roman" w:cs="Times New Roman"/>
        </w:rPr>
        <w:t>ministarstva</w:t>
      </w:r>
      <w:r w:rsidR="00320FE8">
        <w:rPr>
          <w:rFonts w:ascii="Times New Roman" w:hAnsi="Times New Roman" w:cs="Times New Roman"/>
        </w:rPr>
        <w:t xml:space="preserve"> i uredi Vlade RH</w:t>
      </w:r>
      <w:r w:rsidR="003D46C1" w:rsidRPr="00FA7F54">
        <w:rPr>
          <w:rFonts w:ascii="Times New Roman" w:hAnsi="Times New Roman" w:cs="Times New Roman"/>
        </w:rPr>
        <w:t>)</w:t>
      </w:r>
    </w:p>
    <w:p w:rsidR="003D4BEE" w:rsidRPr="00FA7F54" w:rsidRDefault="003D4BEE" w:rsidP="00472068">
      <w:pPr>
        <w:pStyle w:val="Odlomakpopisa"/>
        <w:numPr>
          <w:ilvl w:val="0"/>
          <w:numId w:val="1"/>
        </w:numPr>
        <w:spacing w:line="240" w:lineRule="auto"/>
        <w:jc w:val="both"/>
        <w:rPr>
          <w:rFonts w:ascii="Times New Roman" w:hAnsi="Times New Roman" w:cs="Times New Roman"/>
        </w:rPr>
      </w:pPr>
      <w:r w:rsidRPr="00FA7F54">
        <w:rPr>
          <w:rFonts w:ascii="Times New Roman" w:hAnsi="Times New Roman" w:cs="Times New Roman"/>
        </w:rPr>
        <w:t>Tijela sudbene vlasti</w:t>
      </w:r>
      <w:r w:rsidR="00A13963" w:rsidRPr="00FA7F54">
        <w:rPr>
          <w:rFonts w:ascii="Times New Roman" w:hAnsi="Times New Roman" w:cs="Times New Roman"/>
        </w:rPr>
        <w:t xml:space="preserve"> (sudovi, odvjetništva, zatvori, kaznionice)</w:t>
      </w:r>
    </w:p>
    <w:p w:rsidR="00B67483" w:rsidRPr="00FA7F54" w:rsidRDefault="00B67483" w:rsidP="00472068">
      <w:pPr>
        <w:pStyle w:val="Odlomakpopisa"/>
        <w:numPr>
          <w:ilvl w:val="0"/>
          <w:numId w:val="1"/>
        </w:numPr>
        <w:spacing w:line="240" w:lineRule="auto"/>
        <w:jc w:val="both"/>
        <w:rPr>
          <w:rFonts w:ascii="Times New Roman" w:hAnsi="Times New Roman" w:cs="Times New Roman"/>
        </w:rPr>
      </w:pPr>
      <w:r w:rsidRPr="00FA7F54">
        <w:rPr>
          <w:rFonts w:ascii="Times New Roman" w:hAnsi="Times New Roman" w:cs="Times New Roman"/>
        </w:rPr>
        <w:t>Uredi državne uprave u županijama</w:t>
      </w:r>
    </w:p>
    <w:p w:rsidR="00A509C2" w:rsidRPr="00FA7F54" w:rsidRDefault="00A509C2" w:rsidP="00472068">
      <w:pPr>
        <w:pStyle w:val="Odlomakpopisa"/>
        <w:numPr>
          <w:ilvl w:val="0"/>
          <w:numId w:val="1"/>
        </w:numPr>
        <w:spacing w:line="240" w:lineRule="auto"/>
        <w:jc w:val="both"/>
        <w:rPr>
          <w:rFonts w:ascii="Times New Roman" w:hAnsi="Times New Roman" w:cs="Times New Roman"/>
        </w:rPr>
      </w:pPr>
      <w:r w:rsidRPr="00FA7F54">
        <w:rPr>
          <w:rFonts w:ascii="Times New Roman" w:hAnsi="Times New Roman" w:cs="Times New Roman"/>
        </w:rPr>
        <w:t>Ostala državna tijela (državni zavodi, državni uredi, državne uprave, pravobranitelji i dr.)</w:t>
      </w:r>
    </w:p>
    <w:p w:rsidR="003D4BEE" w:rsidRPr="00FA7F54" w:rsidRDefault="003D4BEE" w:rsidP="00472068">
      <w:pPr>
        <w:pStyle w:val="Odlomakpopisa"/>
        <w:numPr>
          <w:ilvl w:val="0"/>
          <w:numId w:val="1"/>
        </w:numPr>
        <w:spacing w:line="240" w:lineRule="auto"/>
        <w:jc w:val="both"/>
        <w:rPr>
          <w:rFonts w:ascii="Times New Roman" w:hAnsi="Times New Roman" w:cs="Times New Roman"/>
        </w:rPr>
      </w:pPr>
      <w:r w:rsidRPr="00FA7F54">
        <w:rPr>
          <w:rFonts w:ascii="Times New Roman" w:hAnsi="Times New Roman" w:cs="Times New Roman"/>
        </w:rPr>
        <w:t>Agencije</w:t>
      </w:r>
      <w:r w:rsidR="00112875" w:rsidRPr="00FA7F54">
        <w:rPr>
          <w:rFonts w:ascii="Times New Roman" w:hAnsi="Times New Roman" w:cs="Times New Roman"/>
        </w:rPr>
        <w:t>, zavodi, fondovi i druge pravne osobe</w:t>
      </w:r>
      <w:r w:rsidR="00774491" w:rsidRPr="00FA7F54">
        <w:rPr>
          <w:rFonts w:ascii="Times New Roman" w:hAnsi="Times New Roman" w:cs="Times New Roman"/>
        </w:rPr>
        <w:t xml:space="preserve"> (proračunski korisnici državnog proračuna prema popisu koji je Ministarstvo uprave izradilo za potrebe dubinske analize agencija, zavoda i drugih pravnih osoba s javnim ovlastima</w:t>
      </w:r>
      <w:r w:rsidR="00E528F3" w:rsidRPr="00FA7F54">
        <w:rPr>
          <w:rFonts w:ascii="Times New Roman" w:hAnsi="Times New Roman" w:cs="Times New Roman"/>
        </w:rPr>
        <w:t xml:space="preserve"> koji nisu u ostalim skupinama</w:t>
      </w:r>
      <w:r w:rsidR="00774491" w:rsidRPr="00FA7F54">
        <w:rPr>
          <w:rFonts w:ascii="Times New Roman" w:hAnsi="Times New Roman" w:cs="Times New Roman"/>
        </w:rPr>
        <w:t>)</w:t>
      </w:r>
    </w:p>
    <w:p w:rsidR="0080222E" w:rsidRPr="00FA7F54" w:rsidRDefault="0080222E" w:rsidP="00472068">
      <w:pPr>
        <w:pStyle w:val="Odlomakpopisa"/>
        <w:numPr>
          <w:ilvl w:val="0"/>
          <w:numId w:val="1"/>
        </w:numPr>
        <w:spacing w:line="240" w:lineRule="auto"/>
        <w:jc w:val="both"/>
        <w:rPr>
          <w:rFonts w:ascii="Times New Roman" w:hAnsi="Times New Roman" w:cs="Times New Roman"/>
        </w:rPr>
      </w:pPr>
      <w:r w:rsidRPr="00FA7F54">
        <w:rPr>
          <w:rFonts w:ascii="Times New Roman" w:hAnsi="Times New Roman" w:cs="Times New Roman"/>
        </w:rPr>
        <w:t>Kultura (arhivi i muzeji)</w:t>
      </w:r>
    </w:p>
    <w:p w:rsidR="0080222E" w:rsidRPr="00FA7F54" w:rsidRDefault="0080222E" w:rsidP="00472068">
      <w:pPr>
        <w:pStyle w:val="Odlomakpopisa"/>
        <w:numPr>
          <w:ilvl w:val="0"/>
          <w:numId w:val="1"/>
        </w:numPr>
        <w:spacing w:line="240" w:lineRule="auto"/>
        <w:jc w:val="both"/>
        <w:rPr>
          <w:rFonts w:ascii="Times New Roman" w:hAnsi="Times New Roman" w:cs="Times New Roman"/>
        </w:rPr>
      </w:pPr>
      <w:r w:rsidRPr="00FA7F54">
        <w:rPr>
          <w:rFonts w:ascii="Times New Roman" w:hAnsi="Times New Roman" w:cs="Times New Roman"/>
        </w:rPr>
        <w:t>Zaštita okoliša (parkovi prirode i nacionalni parkovi)</w:t>
      </w:r>
    </w:p>
    <w:p w:rsidR="003D4BEE" w:rsidRPr="00FA7F54" w:rsidRDefault="003D4BEE" w:rsidP="00472068">
      <w:pPr>
        <w:pStyle w:val="Odlomakpopisa"/>
        <w:numPr>
          <w:ilvl w:val="0"/>
          <w:numId w:val="1"/>
        </w:numPr>
        <w:spacing w:line="240" w:lineRule="auto"/>
        <w:jc w:val="both"/>
        <w:rPr>
          <w:rFonts w:ascii="Times New Roman" w:hAnsi="Times New Roman" w:cs="Times New Roman"/>
        </w:rPr>
      </w:pPr>
      <w:r w:rsidRPr="00FA7F54">
        <w:rPr>
          <w:rFonts w:ascii="Times New Roman" w:hAnsi="Times New Roman" w:cs="Times New Roman"/>
        </w:rPr>
        <w:t>Sustav socijalne skrbi</w:t>
      </w:r>
      <w:r w:rsidR="001C497F" w:rsidRPr="00FA7F54">
        <w:rPr>
          <w:rFonts w:ascii="Times New Roman" w:hAnsi="Times New Roman" w:cs="Times New Roman"/>
        </w:rPr>
        <w:t xml:space="preserve"> (centri za socijalnu skrb, domovi za starije i nemoćne, domovi za djecu i mladež)</w:t>
      </w:r>
    </w:p>
    <w:p w:rsidR="003D4BEE" w:rsidRPr="00FA7F54" w:rsidRDefault="003D4BEE" w:rsidP="00472068">
      <w:pPr>
        <w:pStyle w:val="Odlomakpopisa"/>
        <w:numPr>
          <w:ilvl w:val="0"/>
          <w:numId w:val="1"/>
        </w:numPr>
        <w:spacing w:line="240" w:lineRule="auto"/>
        <w:jc w:val="both"/>
        <w:rPr>
          <w:rFonts w:ascii="Times New Roman" w:hAnsi="Times New Roman" w:cs="Times New Roman"/>
        </w:rPr>
      </w:pPr>
      <w:r w:rsidRPr="00FA7F54">
        <w:rPr>
          <w:rFonts w:ascii="Times New Roman" w:hAnsi="Times New Roman" w:cs="Times New Roman"/>
        </w:rPr>
        <w:t>Visoko obrazovanje</w:t>
      </w:r>
      <w:r w:rsidR="007C1DBF" w:rsidRPr="00FA7F54">
        <w:rPr>
          <w:rFonts w:ascii="Times New Roman" w:hAnsi="Times New Roman" w:cs="Times New Roman"/>
        </w:rPr>
        <w:t xml:space="preserve"> (sveučilišta, fakulteti, veleučilišta, visoke škole)</w:t>
      </w:r>
    </w:p>
    <w:p w:rsidR="009772FA" w:rsidRPr="00FA7F54" w:rsidRDefault="009772FA" w:rsidP="00472068">
      <w:pPr>
        <w:pStyle w:val="Odlomakpopisa"/>
        <w:numPr>
          <w:ilvl w:val="0"/>
          <w:numId w:val="1"/>
        </w:numPr>
        <w:spacing w:line="240" w:lineRule="auto"/>
        <w:jc w:val="both"/>
        <w:rPr>
          <w:rFonts w:ascii="Times New Roman" w:hAnsi="Times New Roman" w:cs="Times New Roman"/>
        </w:rPr>
      </w:pPr>
      <w:r w:rsidRPr="00FA7F54">
        <w:rPr>
          <w:rFonts w:ascii="Times New Roman" w:hAnsi="Times New Roman" w:cs="Times New Roman"/>
        </w:rPr>
        <w:t>Znanost (</w:t>
      </w:r>
      <w:r w:rsidR="005768D3">
        <w:rPr>
          <w:rFonts w:ascii="Times New Roman" w:hAnsi="Times New Roman" w:cs="Times New Roman"/>
        </w:rPr>
        <w:t xml:space="preserve">javni znanstveni </w:t>
      </w:r>
      <w:r w:rsidRPr="00FA7F54">
        <w:rPr>
          <w:rFonts w:ascii="Times New Roman" w:hAnsi="Times New Roman" w:cs="Times New Roman"/>
        </w:rPr>
        <w:t>instituti i HAZU)</w:t>
      </w:r>
    </w:p>
    <w:p w:rsidR="00813BDD" w:rsidRPr="00FA7F54" w:rsidRDefault="003D4BEE" w:rsidP="00472068">
      <w:pPr>
        <w:pStyle w:val="Odlomakpopisa"/>
        <w:numPr>
          <w:ilvl w:val="0"/>
          <w:numId w:val="1"/>
        </w:numPr>
        <w:spacing w:line="240" w:lineRule="auto"/>
        <w:jc w:val="both"/>
        <w:rPr>
          <w:rFonts w:ascii="Times New Roman" w:hAnsi="Times New Roman" w:cs="Times New Roman"/>
        </w:rPr>
      </w:pPr>
      <w:r w:rsidRPr="00FA7F54">
        <w:rPr>
          <w:rFonts w:ascii="Times New Roman" w:hAnsi="Times New Roman" w:cs="Times New Roman"/>
        </w:rPr>
        <w:t>Zdravstvene ustanove u državnom vlasništvu</w:t>
      </w:r>
      <w:r w:rsidR="005768D3">
        <w:rPr>
          <w:rFonts w:ascii="Times New Roman" w:hAnsi="Times New Roman" w:cs="Times New Roman"/>
        </w:rPr>
        <w:t xml:space="preserve"> </w:t>
      </w:r>
    </w:p>
    <w:p w:rsidR="00A7195D" w:rsidRPr="00FA7F54" w:rsidRDefault="00A7195D" w:rsidP="005E4706">
      <w:pPr>
        <w:spacing w:line="240" w:lineRule="auto"/>
        <w:jc w:val="both"/>
        <w:rPr>
          <w:rFonts w:ascii="Times New Roman" w:hAnsi="Times New Roman" w:cs="Times New Roman"/>
        </w:rPr>
      </w:pPr>
      <w:r w:rsidRPr="00FA7F54">
        <w:rPr>
          <w:rFonts w:ascii="Times New Roman" w:hAnsi="Times New Roman" w:cs="Times New Roman"/>
        </w:rPr>
        <w:t xml:space="preserve">Analizom je također obuhvaćeno i </w:t>
      </w:r>
      <w:r w:rsidRPr="00FA7F54">
        <w:rPr>
          <w:rFonts w:ascii="Times New Roman" w:hAnsi="Times New Roman" w:cs="Times New Roman"/>
          <w:b/>
        </w:rPr>
        <w:t>osam izvanproračunskih korisnika državnog proračuna</w:t>
      </w:r>
      <w:r w:rsidRPr="00FA7F54">
        <w:rPr>
          <w:rFonts w:ascii="Times New Roman" w:hAnsi="Times New Roman" w:cs="Times New Roman"/>
        </w:rPr>
        <w:t xml:space="preserve"> – Hrvatski zavod za mirovinsko osiguranje, Hrvatski zavod za zapošljavanje, Hrvatski zavod za zdravstveno osiguranje, Hrvatske vode, Hrvatske ceste, </w:t>
      </w:r>
      <w:r w:rsidR="005E4706" w:rsidRPr="00FA7F54">
        <w:rPr>
          <w:rFonts w:ascii="Times New Roman" w:hAnsi="Times New Roman" w:cs="Times New Roman"/>
        </w:rPr>
        <w:t>Fond za zaštitu okoliša i energetsku učinkovitost, Državna agencija za osiguranje štednih uloga i sanaciju banaka i Centar za restrukturirane i prodaju.</w:t>
      </w:r>
      <w:r w:rsidR="007B5A3C" w:rsidRPr="00FA7F54">
        <w:rPr>
          <w:rFonts w:ascii="Times New Roman" w:hAnsi="Times New Roman" w:cs="Times New Roman"/>
        </w:rPr>
        <w:t xml:space="preserve"> U sustav državne riznice uključeni su Hrvatski </w:t>
      </w:r>
      <w:r w:rsidR="00C272C2" w:rsidRPr="00FA7F54">
        <w:rPr>
          <w:rFonts w:ascii="Times New Roman" w:hAnsi="Times New Roman" w:cs="Times New Roman"/>
        </w:rPr>
        <w:t>zavod za mirovinsko osiguranje,</w:t>
      </w:r>
      <w:r w:rsidR="007B5A3C" w:rsidRPr="00FA7F54">
        <w:rPr>
          <w:rFonts w:ascii="Times New Roman" w:hAnsi="Times New Roman" w:cs="Times New Roman"/>
        </w:rPr>
        <w:t xml:space="preserve"> Hrvatski zavod za zapošljavanje</w:t>
      </w:r>
      <w:r w:rsidR="00C272C2" w:rsidRPr="00FA7F54">
        <w:rPr>
          <w:rFonts w:ascii="Times New Roman" w:hAnsi="Times New Roman" w:cs="Times New Roman"/>
        </w:rPr>
        <w:t xml:space="preserve"> i Hrvatski zavod za zdravstveno osiguranje (samo za 2014.)</w:t>
      </w:r>
      <w:r w:rsidR="007B5A3C" w:rsidRPr="00FA7F54">
        <w:rPr>
          <w:rFonts w:ascii="Times New Roman" w:hAnsi="Times New Roman" w:cs="Times New Roman"/>
        </w:rPr>
        <w:t xml:space="preserve"> pa su u analizi državnog proračuna uključeni podaci ovih korisnika</w:t>
      </w:r>
      <w:r w:rsidR="00C272C2" w:rsidRPr="00FA7F54">
        <w:rPr>
          <w:rFonts w:ascii="Times New Roman" w:hAnsi="Times New Roman" w:cs="Times New Roman"/>
        </w:rPr>
        <w:t>. Podaci ostalih izvanproračunskih korisnika iskazani su samo u financijskim izvještajima.</w:t>
      </w:r>
    </w:p>
    <w:p w:rsidR="007D7EC5" w:rsidRPr="00FA7F54" w:rsidRDefault="00A32067" w:rsidP="005E4706">
      <w:pPr>
        <w:spacing w:line="240" w:lineRule="auto"/>
        <w:jc w:val="both"/>
        <w:rPr>
          <w:rFonts w:ascii="Times New Roman" w:hAnsi="Times New Roman" w:cs="Times New Roman"/>
        </w:rPr>
      </w:pPr>
      <w:r w:rsidRPr="00FA7F54">
        <w:rPr>
          <w:rFonts w:ascii="Times New Roman" w:hAnsi="Times New Roman" w:cs="Times New Roman"/>
        </w:rPr>
        <w:t>Najveći udio u ukupnim materijalnim rashodima čine tijela izvršne vlasti (34%), zatim zdravstvene ustanove u državnom vlasništvu (20%) i izvanproračunski korisnici (19%), agencije (8%)  i visoko obrazovanje (8%) dok svi ostali proračunski korisnici čine 11% ukupnih materijalnih rashoda.</w:t>
      </w:r>
    </w:p>
    <w:p w:rsidR="007C771B" w:rsidRDefault="00A778C2" w:rsidP="005E4706">
      <w:pPr>
        <w:spacing w:line="240" w:lineRule="auto"/>
        <w:jc w:val="both"/>
        <w:rPr>
          <w:rFonts w:ascii="Times New Roman" w:hAnsi="Times New Roman" w:cs="Times New Roman"/>
        </w:rPr>
      </w:pPr>
      <w:r w:rsidRPr="00FA7F54">
        <w:rPr>
          <w:rFonts w:ascii="Times New Roman" w:hAnsi="Times New Roman" w:cs="Times New Roman"/>
        </w:rPr>
        <w:t xml:space="preserve">Dubinska analiza agencija, zavoda, fondova i drugih pravnih osoba s javnim ovlastima obuhvatila je </w:t>
      </w:r>
      <w:r w:rsidR="00DB6325" w:rsidRPr="00FA7F54">
        <w:rPr>
          <w:rFonts w:ascii="Times New Roman" w:hAnsi="Times New Roman" w:cs="Times New Roman"/>
        </w:rPr>
        <w:t>agencije,</w:t>
      </w:r>
      <w:r w:rsidRPr="00FA7F54">
        <w:rPr>
          <w:rFonts w:ascii="Times New Roman" w:hAnsi="Times New Roman" w:cs="Times New Roman"/>
        </w:rPr>
        <w:t xml:space="preserve"> ustanove u kulturi, znanosti i zaštiti prirode</w:t>
      </w:r>
      <w:r w:rsidR="00DB6325" w:rsidRPr="00FA7F54">
        <w:rPr>
          <w:rFonts w:ascii="Times New Roman" w:hAnsi="Times New Roman" w:cs="Times New Roman"/>
        </w:rPr>
        <w:t xml:space="preserve"> te izvanproračunske korisnike odnosno 30</w:t>
      </w:r>
      <w:r w:rsidRPr="00FA7F54">
        <w:rPr>
          <w:rFonts w:ascii="Times New Roman" w:hAnsi="Times New Roman" w:cs="Times New Roman"/>
        </w:rPr>
        <w:t xml:space="preserve"> posto</w:t>
      </w:r>
      <w:r w:rsidR="00DB6325" w:rsidRPr="00FA7F54">
        <w:rPr>
          <w:rFonts w:ascii="Times New Roman" w:hAnsi="Times New Roman" w:cs="Times New Roman"/>
        </w:rPr>
        <w:t xml:space="preserve"> materijalnih rashoda</w:t>
      </w:r>
      <w:r w:rsidRPr="00FA7F54">
        <w:rPr>
          <w:rFonts w:ascii="Times New Roman" w:hAnsi="Times New Roman" w:cs="Times New Roman"/>
        </w:rPr>
        <w:t xml:space="preserve"> svih proračunski</w:t>
      </w:r>
      <w:r w:rsidR="007D4B50" w:rsidRPr="00FA7F54">
        <w:rPr>
          <w:rFonts w:ascii="Times New Roman" w:hAnsi="Times New Roman" w:cs="Times New Roman"/>
        </w:rPr>
        <w:t xml:space="preserve">h i izvanproračunskih korisnika. Navedeni je postotak relevantni uzorak za </w:t>
      </w:r>
      <w:r w:rsidR="00A57113" w:rsidRPr="00FA7F54">
        <w:rPr>
          <w:rFonts w:ascii="Times New Roman" w:hAnsi="Times New Roman" w:cs="Times New Roman"/>
        </w:rPr>
        <w:t>primjenu</w:t>
      </w:r>
      <w:r w:rsidR="007D4B50" w:rsidRPr="00FA7F54">
        <w:rPr>
          <w:rFonts w:ascii="Times New Roman" w:hAnsi="Times New Roman" w:cs="Times New Roman"/>
        </w:rPr>
        <w:t xml:space="preserve"> preporuka</w:t>
      </w:r>
      <w:r w:rsidR="00A57113" w:rsidRPr="00FA7F54">
        <w:rPr>
          <w:rFonts w:ascii="Times New Roman" w:hAnsi="Times New Roman" w:cs="Times New Roman"/>
        </w:rPr>
        <w:t xml:space="preserve"> iz analize</w:t>
      </w:r>
      <w:r w:rsidR="007D4B50" w:rsidRPr="00FA7F54">
        <w:rPr>
          <w:rFonts w:ascii="Times New Roman" w:hAnsi="Times New Roman" w:cs="Times New Roman"/>
        </w:rPr>
        <w:t xml:space="preserve"> kod svih korisnika.</w:t>
      </w:r>
      <w:r w:rsidR="007C771B" w:rsidRPr="00FA7F54">
        <w:rPr>
          <w:rFonts w:ascii="Times New Roman" w:hAnsi="Times New Roman" w:cs="Times New Roman"/>
        </w:rPr>
        <w:t xml:space="preserve"> </w:t>
      </w:r>
    </w:p>
    <w:p w:rsidR="00D6774C" w:rsidRDefault="00D6774C" w:rsidP="005E4706">
      <w:pPr>
        <w:spacing w:line="240" w:lineRule="auto"/>
        <w:jc w:val="both"/>
        <w:rPr>
          <w:rFonts w:ascii="Times New Roman" w:hAnsi="Times New Roman" w:cs="Times New Roman"/>
        </w:rPr>
      </w:pPr>
    </w:p>
    <w:p w:rsidR="006B7B79" w:rsidRDefault="006B7B79" w:rsidP="005E4706">
      <w:pPr>
        <w:spacing w:line="240" w:lineRule="auto"/>
        <w:jc w:val="both"/>
        <w:rPr>
          <w:rFonts w:ascii="Times New Roman" w:hAnsi="Times New Roman" w:cs="Times New Roman"/>
        </w:rPr>
      </w:pPr>
    </w:p>
    <w:p w:rsidR="007D7EC5" w:rsidRPr="00472068" w:rsidRDefault="009835A2" w:rsidP="00D10EFB">
      <w:pPr>
        <w:pStyle w:val="Opisslike"/>
        <w:spacing w:after="0"/>
        <w:jc w:val="both"/>
        <w:rPr>
          <w:rFonts w:ascii="Times New Roman" w:hAnsi="Times New Roman" w:cs="Times New Roman"/>
          <w:sz w:val="20"/>
          <w:szCs w:val="20"/>
        </w:rPr>
      </w:pPr>
      <w:bookmarkStart w:id="6" w:name="_Toc425251090"/>
      <w:r w:rsidRPr="00472068">
        <w:rPr>
          <w:rFonts w:ascii="Times New Roman" w:hAnsi="Times New Roman" w:cs="Times New Roman"/>
          <w:sz w:val="20"/>
          <w:szCs w:val="20"/>
        </w:rPr>
        <w:lastRenderedPageBreak/>
        <w:t xml:space="preserve">Slika </w:t>
      </w:r>
      <w:r w:rsidR="002D0343" w:rsidRPr="00472068">
        <w:rPr>
          <w:rFonts w:ascii="Times New Roman" w:hAnsi="Times New Roman" w:cs="Times New Roman"/>
          <w:sz w:val="20"/>
          <w:szCs w:val="20"/>
        </w:rPr>
        <w:fldChar w:fldCharType="begin"/>
      </w:r>
      <w:r w:rsidRPr="00472068">
        <w:rPr>
          <w:rFonts w:ascii="Times New Roman" w:hAnsi="Times New Roman" w:cs="Times New Roman"/>
          <w:sz w:val="20"/>
          <w:szCs w:val="20"/>
        </w:rPr>
        <w:instrText xml:space="preserve"> SEQ Slika \* ARABIC </w:instrText>
      </w:r>
      <w:r w:rsidR="002D0343" w:rsidRPr="00472068">
        <w:rPr>
          <w:rFonts w:ascii="Times New Roman" w:hAnsi="Times New Roman" w:cs="Times New Roman"/>
          <w:sz w:val="20"/>
          <w:szCs w:val="20"/>
        </w:rPr>
        <w:fldChar w:fldCharType="separate"/>
      </w:r>
      <w:r w:rsidR="00F50808">
        <w:rPr>
          <w:rFonts w:ascii="Times New Roman" w:hAnsi="Times New Roman" w:cs="Times New Roman"/>
          <w:noProof/>
          <w:sz w:val="20"/>
          <w:szCs w:val="20"/>
        </w:rPr>
        <w:t>1</w:t>
      </w:r>
      <w:r w:rsidR="002D0343" w:rsidRPr="00472068">
        <w:rPr>
          <w:rFonts w:ascii="Times New Roman" w:hAnsi="Times New Roman" w:cs="Times New Roman"/>
          <w:sz w:val="20"/>
          <w:szCs w:val="20"/>
        </w:rPr>
        <w:fldChar w:fldCharType="end"/>
      </w:r>
      <w:r w:rsidRPr="00472068">
        <w:rPr>
          <w:rFonts w:ascii="Times New Roman" w:hAnsi="Times New Roman" w:cs="Times New Roman"/>
          <w:sz w:val="20"/>
          <w:szCs w:val="20"/>
        </w:rPr>
        <w:t xml:space="preserve">: </w:t>
      </w:r>
      <w:r w:rsidR="007D7EC5" w:rsidRPr="00472068">
        <w:rPr>
          <w:rFonts w:ascii="Times New Roman" w:hAnsi="Times New Roman" w:cs="Times New Roman"/>
          <w:sz w:val="20"/>
          <w:szCs w:val="20"/>
        </w:rPr>
        <w:t>Materijalni rashodi</w:t>
      </w:r>
      <w:r w:rsidR="002D6C06" w:rsidRPr="00472068">
        <w:rPr>
          <w:rFonts w:ascii="Times New Roman" w:hAnsi="Times New Roman" w:cs="Times New Roman"/>
          <w:sz w:val="20"/>
          <w:szCs w:val="20"/>
        </w:rPr>
        <w:t xml:space="preserve"> iskazani u financijskim izvještajima</w:t>
      </w:r>
      <w:r w:rsidR="007D7EC5" w:rsidRPr="00472068">
        <w:rPr>
          <w:rFonts w:ascii="Times New Roman" w:hAnsi="Times New Roman" w:cs="Times New Roman"/>
          <w:sz w:val="20"/>
          <w:szCs w:val="20"/>
        </w:rPr>
        <w:t xml:space="preserve"> proračunskih</w:t>
      </w:r>
      <w:r w:rsidR="00D929F6" w:rsidRPr="00472068">
        <w:rPr>
          <w:rFonts w:ascii="Times New Roman" w:hAnsi="Times New Roman" w:cs="Times New Roman"/>
          <w:sz w:val="20"/>
          <w:szCs w:val="20"/>
        </w:rPr>
        <w:t xml:space="preserve"> i izvanproračunskih korisnika za</w:t>
      </w:r>
      <w:r w:rsidR="007D7EC5" w:rsidRPr="00472068">
        <w:rPr>
          <w:rFonts w:ascii="Times New Roman" w:hAnsi="Times New Roman" w:cs="Times New Roman"/>
          <w:sz w:val="20"/>
          <w:szCs w:val="20"/>
        </w:rPr>
        <w:t xml:space="preserve"> 2014. g</w:t>
      </w:r>
      <w:r w:rsidR="00D929F6" w:rsidRPr="00472068">
        <w:rPr>
          <w:rFonts w:ascii="Times New Roman" w:hAnsi="Times New Roman" w:cs="Times New Roman"/>
          <w:sz w:val="20"/>
          <w:szCs w:val="20"/>
        </w:rPr>
        <w:t>odinu</w:t>
      </w:r>
      <w:r w:rsidR="007D7EC5" w:rsidRPr="00472068">
        <w:rPr>
          <w:rFonts w:ascii="Times New Roman" w:hAnsi="Times New Roman" w:cs="Times New Roman"/>
          <w:sz w:val="20"/>
          <w:szCs w:val="20"/>
        </w:rPr>
        <w:t xml:space="preserve"> prema analiziranim skupinama</w:t>
      </w:r>
      <w:bookmarkEnd w:id="6"/>
      <w:r w:rsidR="007D7EC5" w:rsidRPr="00472068">
        <w:rPr>
          <w:rFonts w:ascii="Times New Roman" w:hAnsi="Times New Roman" w:cs="Times New Roman"/>
          <w:sz w:val="20"/>
          <w:szCs w:val="20"/>
        </w:rPr>
        <w:t xml:space="preserve"> </w:t>
      </w:r>
    </w:p>
    <w:p w:rsidR="007D7EC5" w:rsidRPr="00FA7F54" w:rsidRDefault="00550A80" w:rsidP="005E4706">
      <w:pPr>
        <w:spacing w:line="240" w:lineRule="auto"/>
        <w:jc w:val="both"/>
        <w:rPr>
          <w:rFonts w:ascii="Times New Roman" w:hAnsi="Times New Roman" w:cs="Times New Roman"/>
        </w:rPr>
      </w:pPr>
      <w:r w:rsidRPr="00FA7F54">
        <w:rPr>
          <w:rFonts w:ascii="Times New Roman" w:hAnsi="Times New Roman" w:cs="Times New Roman"/>
          <w:noProof/>
          <w:lang w:eastAsia="hr-HR"/>
        </w:rPr>
        <w:drawing>
          <wp:inline distT="0" distB="0" distL="0" distR="0" wp14:anchorId="00683671" wp14:editId="38FD2DF2">
            <wp:extent cx="5734050" cy="4174311"/>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4983" cy="4182270"/>
                    </a:xfrm>
                    <a:prstGeom prst="rect">
                      <a:avLst/>
                    </a:prstGeom>
                    <a:noFill/>
                  </pic:spPr>
                </pic:pic>
              </a:graphicData>
            </a:graphic>
          </wp:inline>
        </w:drawing>
      </w:r>
    </w:p>
    <w:p w:rsidR="00B34AC1" w:rsidRPr="00FA7F54" w:rsidRDefault="00B34AC1" w:rsidP="00922D60">
      <w:pPr>
        <w:pStyle w:val="Naslov1"/>
        <w:numPr>
          <w:ilvl w:val="0"/>
          <w:numId w:val="4"/>
        </w:numPr>
        <w:ind w:left="567" w:hanging="567"/>
        <w:rPr>
          <w:rFonts w:ascii="Times New Roman" w:hAnsi="Times New Roman" w:cs="Times New Roman"/>
          <w:b w:val="0"/>
          <w:color w:val="auto"/>
          <w:sz w:val="22"/>
          <w:szCs w:val="22"/>
        </w:rPr>
      </w:pPr>
      <w:bookmarkStart w:id="7" w:name="_Toc434411173"/>
      <w:bookmarkStart w:id="8" w:name="_Toc436402316"/>
      <w:r w:rsidRPr="00FA7F54">
        <w:rPr>
          <w:rFonts w:ascii="Times New Roman" w:hAnsi="Times New Roman" w:cs="Times New Roman"/>
          <w:b w:val="0"/>
          <w:color w:val="auto"/>
          <w:sz w:val="22"/>
          <w:szCs w:val="22"/>
        </w:rPr>
        <w:t>UKUPNI MATERIJALNI RASHODI</w:t>
      </w:r>
      <w:bookmarkEnd w:id="7"/>
      <w:bookmarkEnd w:id="8"/>
      <w:r w:rsidR="00071347" w:rsidRPr="00FA7F54">
        <w:rPr>
          <w:rFonts w:ascii="Times New Roman" w:hAnsi="Times New Roman" w:cs="Times New Roman"/>
          <w:b w:val="0"/>
          <w:color w:val="auto"/>
          <w:sz w:val="22"/>
          <w:szCs w:val="22"/>
        </w:rPr>
        <w:t xml:space="preserve"> </w:t>
      </w:r>
    </w:p>
    <w:p w:rsidR="00154888" w:rsidRPr="00FA7F54" w:rsidRDefault="00FF4897" w:rsidP="00C83540">
      <w:pPr>
        <w:spacing w:line="240" w:lineRule="auto"/>
        <w:jc w:val="both"/>
        <w:rPr>
          <w:rFonts w:ascii="Times New Roman" w:hAnsi="Times New Roman" w:cs="Times New Roman"/>
        </w:rPr>
      </w:pPr>
      <w:r w:rsidRPr="00FA7F54">
        <w:rPr>
          <w:rFonts w:ascii="Times New Roman" w:hAnsi="Times New Roman" w:cs="Times New Roman"/>
        </w:rPr>
        <w:t>Za razumijevanje analize financijskih podataka potrebno je razlikovati dva različita načina iskazivanja financijskih podataka – prema novčanom tijeku u Izvještaju o izvršenju državnog proračuna i prema nastanku događaja u financijskim izvještajima (PR-RAS obrascu).</w:t>
      </w:r>
      <w:r w:rsidR="001E1083" w:rsidRPr="00FA7F54">
        <w:rPr>
          <w:rFonts w:ascii="Times New Roman" w:hAnsi="Times New Roman" w:cs="Times New Roman"/>
        </w:rPr>
        <w:t xml:space="preserve"> Podaci iskazani u financijskim izvještajima daju preciznije informacije u smislu analize određenog perioda jer su iskazani </w:t>
      </w:r>
      <w:r w:rsidR="004E3C8C" w:rsidRPr="00FA7F54">
        <w:rPr>
          <w:rFonts w:ascii="Times New Roman" w:hAnsi="Times New Roman" w:cs="Times New Roman"/>
        </w:rPr>
        <w:t>svi rashodi koji su nastali</w:t>
      </w:r>
      <w:r w:rsidR="001E1083" w:rsidRPr="00FA7F54">
        <w:rPr>
          <w:rFonts w:ascii="Times New Roman" w:hAnsi="Times New Roman" w:cs="Times New Roman"/>
        </w:rPr>
        <w:t xml:space="preserve"> u analiziranoj godini</w:t>
      </w:r>
      <w:r w:rsidR="004E3C8C" w:rsidRPr="00FA7F54">
        <w:rPr>
          <w:rFonts w:ascii="Times New Roman" w:hAnsi="Times New Roman" w:cs="Times New Roman"/>
        </w:rPr>
        <w:t xml:space="preserve"> bez obzira kada su plaćeni</w:t>
      </w:r>
      <w:r w:rsidR="001E1083" w:rsidRPr="00FA7F54">
        <w:rPr>
          <w:rFonts w:ascii="Times New Roman" w:hAnsi="Times New Roman" w:cs="Times New Roman"/>
        </w:rPr>
        <w:t xml:space="preserve"> dok su podaci iz Izvještaja o izvršenju državnog proračuna samo informacija o plaćenim rashodima u toj godini. Međutim, informaciju o tome iz kojih je izvora određeni rashod podmiren</w:t>
      </w:r>
      <w:r w:rsidR="009777A9" w:rsidRPr="00FA7F54">
        <w:rPr>
          <w:rFonts w:ascii="Times New Roman" w:hAnsi="Times New Roman" w:cs="Times New Roman"/>
        </w:rPr>
        <w:t xml:space="preserve"> ili rashode iskazane prema osnovnim računima</w:t>
      </w:r>
      <w:r w:rsidR="009777A9" w:rsidRPr="00FA7F54">
        <w:rPr>
          <w:rStyle w:val="Referencafusnote"/>
          <w:rFonts w:ascii="Times New Roman" w:hAnsi="Times New Roman" w:cs="Times New Roman"/>
        </w:rPr>
        <w:footnoteReference w:id="3"/>
      </w:r>
      <w:r w:rsidR="001E1083" w:rsidRPr="00FA7F54">
        <w:rPr>
          <w:rFonts w:ascii="Times New Roman" w:hAnsi="Times New Roman" w:cs="Times New Roman"/>
        </w:rPr>
        <w:t xml:space="preserve"> moguće je dobiti samo</w:t>
      </w:r>
      <w:r w:rsidR="00814C73" w:rsidRPr="00FA7F54">
        <w:rPr>
          <w:rFonts w:ascii="Times New Roman" w:hAnsi="Times New Roman" w:cs="Times New Roman"/>
        </w:rPr>
        <w:t xml:space="preserve"> analizom izvještaja </w:t>
      </w:r>
      <w:r w:rsidR="001E1083" w:rsidRPr="00FA7F54">
        <w:rPr>
          <w:rFonts w:ascii="Times New Roman" w:hAnsi="Times New Roman" w:cs="Times New Roman"/>
        </w:rPr>
        <w:t>o izvršenju državnog proračuna zbog čega su</w:t>
      </w:r>
      <w:r w:rsidR="00951A1F" w:rsidRPr="00FA7F54">
        <w:rPr>
          <w:rFonts w:ascii="Times New Roman" w:hAnsi="Times New Roman" w:cs="Times New Roman"/>
        </w:rPr>
        <w:t xml:space="preserve"> navedene</w:t>
      </w:r>
      <w:r w:rsidR="001E1083" w:rsidRPr="00FA7F54">
        <w:rPr>
          <w:rFonts w:ascii="Times New Roman" w:hAnsi="Times New Roman" w:cs="Times New Roman"/>
        </w:rPr>
        <w:t xml:space="preserve"> </w:t>
      </w:r>
      <w:r w:rsidR="00951A1F" w:rsidRPr="00FA7F54">
        <w:rPr>
          <w:rFonts w:ascii="Times New Roman" w:hAnsi="Times New Roman" w:cs="Times New Roman"/>
        </w:rPr>
        <w:t>informacije također značajne</w:t>
      </w:r>
      <w:r w:rsidR="001E1083" w:rsidRPr="00FA7F54">
        <w:rPr>
          <w:rFonts w:ascii="Times New Roman" w:hAnsi="Times New Roman" w:cs="Times New Roman"/>
        </w:rPr>
        <w:t>.</w:t>
      </w:r>
      <w:r w:rsidR="00DE3AE1" w:rsidRPr="00FA7F54">
        <w:rPr>
          <w:rFonts w:ascii="Times New Roman" w:hAnsi="Times New Roman" w:cs="Times New Roman"/>
        </w:rPr>
        <w:t xml:space="preserve"> </w:t>
      </w:r>
    </w:p>
    <w:p w:rsidR="0004092B" w:rsidRPr="00FA7F54" w:rsidRDefault="00874F51" w:rsidP="00C83540">
      <w:pPr>
        <w:spacing w:line="240" w:lineRule="auto"/>
        <w:jc w:val="both"/>
        <w:rPr>
          <w:rFonts w:ascii="Times New Roman" w:hAnsi="Times New Roman" w:cs="Times New Roman"/>
        </w:rPr>
      </w:pPr>
      <w:r w:rsidRPr="00FA7F54">
        <w:rPr>
          <w:rFonts w:ascii="Times New Roman" w:hAnsi="Times New Roman" w:cs="Times New Roman"/>
        </w:rPr>
        <w:t>U izvještajima o izvršenju državnog proračuna iskazani su podaci za tri izvanproračunska korisnika (HZMO, HZZ i HZZO) dok ostali izvanproračunski korisnici nisu uključeni u sustav državne riznice pa su njihovi podaci raspoloživi samo putem financijskih izvještaja. Od 2015</w:t>
      </w:r>
      <w:r w:rsidR="00AF1454">
        <w:rPr>
          <w:rFonts w:ascii="Times New Roman" w:hAnsi="Times New Roman" w:cs="Times New Roman"/>
        </w:rPr>
        <w:t>. godine i HZZO je izdvojen iz D</w:t>
      </w:r>
      <w:r w:rsidRPr="00FA7F54">
        <w:rPr>
          <w:rFonts w:ascii="Times New Roman" w:hAnsi="Times New Roman" w:cs="Times New Roman"/>
        </w:rPr>
        <w:t xml:space="preserve">ržavne riznice. </w:t>
      </w:r>
    </w:p>
    <w:p w:rsidR="00FF4897" w:rsidRPr="00FA7F54" w:rsidRDefault="00DE3AE1" w:rsidP="00C83540">
      <w:pPr>
        <w:spacing w:line="240" w:lineRule="auto"/>
        <w:jc w:val="both"/>
        <w:rPr>
          <w:rFonts w:ascii="Times New Roman" w:hAnsi="Times New Roman" w:cs="Times New Roman"/>
        </w:rPr>
      </w:pPr>
      <w:r w:rsidRPr="00FA7F54">
        <w:rPr>
          <w:rFonts w:ascii="Times New Roman" w:hAnsi="Times New Roman" w:cs="Times New Roman"/>
        </w:rPr>
        <w:t>Potrebno je ista</w:t>
      </w:r>
      <w:r w:rsidR="00E13247" w:rsidRPr="00FA7F54">
        <w:rPr>
          <w:rFonts w:ascii="Times New Roman" w:hAnsi="Times New Roman" w:cs="Times New Roman"/>
        </w:rPr>
        <w:t>knuti</w:t>
      </w:r>
      <w:r w:rsidRPr="00FA7F54">
        <w:rPr>
          <w:rFonts w:ascii="Times New Roman" w:hAnsi="Times New Roman" w:cs="Times New Roman"/>
        </w:rPr>
        <w:t xml:space="preserve"> kako do 2015. godine u državnom proračunu nisu bili iskazani vlastiti i namjenski prihodi svih proračunskih korisnika</w:t>
      </w:r>
      <w:r w:rsidR="007D1D56" w:rsidRPr="00FA7F54">
        <w:rPr>
          <w:rFonts w:ascii="Times New Roman" w:hAnsi="Times New Roman" w:cs="Times New Roman"/>
        </w:rPr>
        <w:t xml:space="preserve"> (onih koji su izuzeti od uplate u državni proračun)</w:t>
      </w:r>
      <w:r w:rsidR="00161D5F" w:rsidRPr="00FA7F54">
        <w:rPr>
          <w:rFonts w:ascii="Times New Roman" w:hAnsi="Times New Roman" w:cs="Times New Roman"/>
        </w:rPr>
        <w:t xml:space="preserve">, koji </w:t>
      </w:r>
      <w:r w:rsidRPr="00FA7F54">
        <w:rPr>
          <w:rFonts w:ascii="Times New Roman" w:hAnsi="Times New Roman" w:cs="Times New Roman"/>
        </w:rPr>
        <w:t xml:space="preserve">zbog </w:t>
      </w:r>
      <w:r w:rsidR="00161D5F" w:rsidRPr="00FA7F54">
        <w:rPr>
          <w:rFonts w:ascii="Times New Roman" w:hAnsi="Times New Roman" w:cs="Times New Roman"/>
        </w:rPr>
        <w:t xml:space="preserve">toga nisu sadržani u </w:t>
      </w:r>
      <w:r w:rsidRPr="00FA7F54">
        <w:rPr>
          <w:rFonts w:ascii="Times New Roman" w:hAnsi="Times New Roman" w:cs="Times New Roman"/>
        </w:rPr>
        <w:t>Izvještaj</w:t>
      </w:r>
      <w:r w:rsidR="00161D5F" w:rsidRPr="00FA7F54">
        <w:rPr>
          <w:rFonts w:ascii="Times New Roman" w:hAnsi="Times New Roman" w:cs="Times New Roman"/>
        </w:rPr>
        <w:t>u</w:t>
      </w:r>
      <w:r w:rsidRPr="00FA7F54">
        <w:rPr>
          <w:rFonts w:ascii="Times New Roman" w:hAnsi="Times New Roman" w:cs="Times New Roman"/>
        </w:rPr>
        <w:t xml:space="preserve"> o izvršenju državnog proračuna</w:t>
      </w:r>
      <w:r w:rsidR="00F44241" w:rsidRPr="00FA7F54">
        <w:rPr>
          <w:rFonts w:ascii="Times New Roman" w:hAnsi="Times New Roman" w:cs="Times New Roman"/>
        </w:rPr>
        <w:t xml:space="preserve"> za prethodne godine</w:t>
      </w:r>
      <w:r w:rsidR="00161D5F" w:rsidRPr="00FA7F54">
        <w:rPr>
          <w:rFonts w:ascii="Times New Roman" w:hAnsi="Times New Roman" w:cs="Times New Roman"/>
        </w:rPr>
        <w:t xml:space="preserve">, </w:t>
      </w:r>
      <w:r w:rsidR="004E3C8C" w:rsidRPr="00FA7F54">
        <w:rPr>
          <w:rFonts w:ascii="Times New Roman" w:hAnsi="Times New Roman" w:cs="Times New Roman"/>
        </w:rPr>
        <w:t>pa se</w:t>
      </w:r>
      <w:r w:rsidR="00CC3D89" w:rsidRPr="00FA7F54">
        <w:rPr>
          <w:rFonts w:ascii="Times New Roman" w:hAnsi="Times New Roman" w:cs="Times New Roman"/>
        </w:rPr>
        <w:t xml:space="preserve"> i</w:t>
      </w:r>
      <w:r w:rsidR="004E3C8C" w:rsidRPr="00FA7F54">
        <w:rPr>
          <w:rFonts w:ascii="Times New Roman" w:hAnsi="Times New Roman" w:cs="Times New Roman"/>
        </w:rPr>
        <w:t xml:space="preserve"> u tom dijelu podaci </w:t>
      </w:r>
      <w:r w:rsidR="00161D5F" w:rsidRPr="00FA7F54">
        <w:rPr>
          <w:rFonts w:ascii="Times New Roman" w:hAnsi="Times New Roman" w:cs="Times New Roman"/>
        </w:rPr>
        <w:t xml:space="preserve">u Izvještaju o izvršenju državnog proračuna </w:t>
      </w:r>
      <w:r w:rsidR="004E3C8C" w:rsidRPr="00FA7F54">
        <w:rPr>
          <w:rFonts w:ascii="Times New Roman" w:hAnsi="Times New Roman" w:cs="Times New Roman"/>
        </w:rPr>
        <w:t>razlikuju od</w:t>
      </w:r>
      <w:r w:rsidR="004710D5" w:rsidRPr="00FA7F54">
        <w:rPr>
          <w:rFonts w:ascii="Times New Roman" w:hAnsi="Times New Roman" w:cs="Times New Roman"/>
        </w:rPr>
        <w:t xml:space="preserve"> onih iskazanih u financijskim izvještajima</w:t>
      </w:r>
      <w:r w:rsidR="00161D5F" w:rsidRPr="00FA7F54">
        <w:rPr>
          <w:rFonts w:ascii="Times New Roman" w:hAnsi="Times New Roman" w:cs="Times New Roman"/>
        </w:rPr>
        <w:t xml:space="preserve"> proračunskih korisnika</w:t>
      </w:r>
      <w:r w:rsidRPr="00FA7F54">
        <w:rPr>
          <w:rFonts w:ascii="Times New Roman" w:hAnsi="Times New Roman" w:cs="Times New Roman"/>
        </w:rPr>
        <w:t>.</w:t>
      </w:r>
    </w:p>
    <w:p w:rsidR="00984BBA" w:rsidRPr="00FA7F54" w:rsidRDefault="00154888" w:rsidP="00B072BE">
      <w:pPr>
        <w:spacing w:after="0"/>
        <w:rPr>
          <w:rFonts w:ascii="Times New Roman" w:hAnsi="Times New Roman" w:cs="Times New Roman"/>
          <w:u w:val="single"/>
        </w:rPr>
      </w:pPr>
      <w:r w:rsidRPr="00FA7F54">
        <w:rPr>
          <w:rFonts w:ascii="Times New Roman" w:hAnsi="Times New Roman" w:cs="Times New Roman"/>
          <w:u w:val="single"/>
        </w:rPr>
        <w:lastRenderedPageBreak/>
        <w:t>Materijalni rashodi prema financijskim izvještajima</w:t>
      </w:r>
      <w:r w:rsidR="007500E1" w:rsidRPr="00FA7F54">
        <w:rPr>
          <w:rFonts w:ascii="Times New Roman" w:hAnsi="Times New Roman" w:cs="Times New Roman"/>
          <w:u w:val="single"/>
        </w:rPr>
        <w:t xml:space="preserve"> (PR-RAS obrazac)</w:t>
      </w:r>
    </w:p>
    <w:p w:rsidR="007500E1" w:rsidRDefault="007500E1" w:rsidP="006B7B79">
      <w:pPr>
        <w:spacing w:after="0"/>
        <w:jc w:val="both"/>
        <w:rPr>
          <w:rFonts w:ascii="Times New Roman" w:hAnsi="Times New Roman" w:cs="Times New Roman"/>
        </w:rPr>
      </w:pPr>
      <w:r w:rsidRPr="00FA7F54">
        <w:rPr>
          <w:rFonts w:ascii="Times New Roman" w:hAnsi="Times New Roman" w:cs="Times New Roman"/>
        </w:rPr>
        <w:t>Prema podacima iskazanim u financijskim izvještajima proračunskih korisnika ukupni materijalni rashodi</w:t>
      </w:r>
      <w:r w:rsidR="0004092B" w:rsidRPr="00FA7F54">
        <w:rPr>
          <w:rFonts w:ascii="Times New Roman" w:hAnsi="Times New Roman" w:cs="Times New Roman"/>
        </w:rPr>
        <w:t xml:space="preserve"> u 2013. godini iznosili su 14,7 ml</w:t>
      </w:r>
      <w:r w:rsidR="00161D5F" w:rsidRPr="00FA7F54">
        <w:rPr>
          <w:rFonts w:ascii="Times New Roman" w:hAnsi="Times New Roman" w:cs="Times New Roman"/>
        </w:rPr>
        <w:t>r</w:t>
      </w:r>
      <w:r w:rsidR="0004092B" w:rsidRPr="00FA7F54">
        <w:rPr>
          <w:rFonts w:ascii="Times New Roman" w:hAnsi="Times New Roman" w:cs="Times New Roman"/>
        </w:rPr>
        <w:t>d.</w:t>
      </w:r>
      <w:r w:rsidR="00F96B3B" w:rsidRPr="00FA7F54">
        <w:rPr>
          <w:rFonts w:ascii="Times New Roman" w:hAnsi="Times New Roman" w:cs="Times New Roman"/>
        </w:rPr>
        <w:t xml:space="preserve"> kuna</w:t>
      </w:r>
      <w:r w:rsidR="0004092B" w:rsidRPr="00FA7F54">
        <w:rPr>
          <w:rFonts w:ascii="Times New Roman" w:hAnsi="Times New Roman" w:cs="Times New Roman"/>
        </w:rPr>
        <w:t>, a u 2014. godini 14,1</w:t>
      </w:r>
      <w:r w:rsidRPr="00FA7F54">
        <w:rPr>
          <w:rFonts w:ascii="Times New Roman" w:hAnsi="Times New Roman" w:cs="Times New Roman"/>
        </w:rPr>
        <w:t xml:space="preserve"> ml</w:t>
      </w:r>
      <w:r w:rsidR="00161D5F" w:rsidRPr="00FA7F54">
        <w:rPr>
          <w:rFonts w:ascii="Times New Roman" w:hAnsi="Times New Roman" w:cs="Times New Roman"/>
        </w:rPr>
        <w:t>r</w:t>
      </w:r>
      <w:r w:rsidRPr="00FA7F54">
        <w:rPr>
          <w:rFonts w:ascii="Times New Roman" w:hAnsi="Times New Roman" w:cs="Times New Roman"/>
        </w:rPr>
        <w:t>d. kuna.</w:t>
      </w:r>
    </w:p>
    <w:p w:rsidR="00472068" w:rsidRPr="00FA7F54" w:rsidRDefault="00472068" w:rsidP="006B7B79">
      <w:pPr>
        <w:spacing w:after="0"/>
        <w:jc w:val="both"/>
        <w:rPr>
          <w:rFonts w:ascii="Times New Roman" w:hAnsi="Times New Roman" w:cs="Times New Roman"/>
          <w:u w:val="single"/>
        </w:rPr>
      </w:pPr>
    </w:p>
    <w:p w:rsidR="007500E1" w:rsidRPr="00472068" w:rsidRDefault="009835A2" w:rsidP="00D10EFB">
      <w:pPr>
        <w:pStyle w:val="Opisslike"/>
        <w:spacing w:after="0"/>
        <w:jc w:val="both"/>
        <w:rPr>
          <w:rFonts w:ascii="Times New Roman" w:hAnsi="Times New Roman" w:cs="Times New Roman"/>
          <w:sz w:val="20"/>
          <w:szCs w:val="20"/>
        </w:rPr>
      </w:pPr>
      <w:bookmarkStart w:id="9" w:name="_Toc436402248"/>
      <w:r w:rsidRPr="00472068">
        <w:rPr>
          <w:rFonts w:ascii="Times New Roman" w:hAnsi="Times New Roman" w:cs="Times New Roman"/>
          <w:sz w:val="20"/>
          <w:szCs w:val="20"/>
        </w:rPr>
        <w:t xml:space="preserve">Tabela </w:t>
      </w:r>
      <w:r w:rsidR="002D0343" w:rsidRPr="00472068">
        <w:rPr>
          <w:rFonts w:ascii="Times New Roman" w:hAnsi="Times New Roman" w:cs="Times New Roman"/>
          <w:sz w:val="20"/>
          <w:szCs w:val="20"/>
        </w:rPr>
        <w:fldChar w:fldCharType="begin"/>
      </w:r>
      <w:r w:rsidRPr="00472068">
        <w:rPr>
          <w:rFonts w:ascii="Times New Roman" w:hAnsi="Times New Roman" w:cs="Times New Roman"/>
          <w:sz w:val="20"/>
          <w:szCs w:val="20"/>
        </w:rPr>
        <w:instrText xml:space="preserve"> SEQ Tabela \* ARABIC </w:instrText>
      </w:r>
      <w:r w:rsidR="002D0343" w:rsidRPr="00472068">
        <w:rPr>
          <w:rFonts w:ascii="Times New Roman" w:hAnsi="Times New Roman" w:cs="Times New Roman"/>
          <w:sz w:val="20"/>
          <w:szCs w:val="20"/>
        </w:rPr>
        <w:fldChar w:fldCharType="separate"/>
      </w:r>
      <w:r w:rsidR="00F50808">
        <w:rPr>
          <w:rFonts w:ascii="Times New Roman" w:hAnsi="Times New Roman" w:cs="Times New Roman"/>
          <w:noProof/>
          <w:sz w:val="20"/>
          <w:szCs w:val="20"/>
        </w:rPr>
        <w:t>1</w:t>
      </w:r>
      <w:r w:rsidR="002D0343" w:rsidRPr="00472068">
        <w:rPr>
          <w:rFonts w:ascii="Times New Roman" w:hAnsi="Times New Roman" w:cs="Times New Roman"/>
          <w:sz w:val="20"/>
          <w:szCs w:val="20"/>
        </w:rPr>
        <w:fldChar w:fldCharType="end"/>
      </w:r>
      <w:r w:rsidRPr="00472068">
        <w:rPr>
          <w:rFonts w:ascii="Times New Roman" w:hAnsi="Times New Roman" w:cs="Times New Roman"/>
          <w:sz w:val="20"/>
          <w:szCs w:val="20"/>
        </w:rPr>
        <w:t xml:space="preserve">: </w:t>
      </w:r>
      <w:r w:rsidR="007500E1" w:rsidRPr="00472068">
        <w:rPr>
          <w:rFonts w:ascii="Times New Roman" w:hAnsi="Times New Roman" w:cs="Times New Roman"/>
          <w:sz w:val="20"/>
          <w:szCs w:val="20"/>
        </w:rPr>
        <w:t>Ukupni materijalni rashodi prema podacima iskazanim u financijskim izvještajima proračunskih</w:t>
      </w:r>
      <w:r w:rsidR="00301A75" w:rsidRPr="00472068">
        <w:rPr>
          <w:rFonts w:ascii="Times New Roman" w:hAnsi="Times New Roman" w:cs="Times New Roman"/>
          <w:sz w:val="20"/>
          <w:szCs w:val="20"/>
        </w:rPr>
        <w:t xml:space="preserve"> i izvanproračunskih</w:t>
      </w:r>
      <w:r w:rsidR="007500E1" w:rsidRPr="00472068">
        <w:rPr>
          <w:rFonts w:ascii="Times New Roman" w:hAnsi="Times New Roman" w:cs="Times New Roman"/>
          <w:sz w:val="20"/>
          <w:szCs w:val="20"/>
        </w:rPr>
        <w:t xml:space="preserve"> korisnika za 2013. i 2014. </w:t>
      </w:r>
      <w:r w:rsidR="00B95348" w:rsidRPr="00472068">
        <w:rPr>
          <w:rFonts w:ascii="Times New Roman" w:hAnsi="Times New Roman" w:cs="Times New Roman"/>
          <w:sz w:val="20"/>
          <w:szCs w:val="20"/>
        </w:rPr>
        <w:t>godinu</w:t>
      </w:r>
      <w:bookmarkEnd w:id="9"/>
    </w:p>
    <w:tbl>
      <w:tblPr>
        <w:tblW w:w="9193" w:type="dxa"/>
        <w:jc w:val="center"/>
        <w:tblLook w:val="04A0" w:firstRow="1" w:lastRow="0" w:firstColumn="1" w:lastColumn="0" w:noHBand="0" w:noVBand="1"/>
      </w:tblPr>
      <w:tblGrid>
        <w:gridCol w:w="705"/>
        <w:gridCol w:w="4829"/>
        <w:gridCol w:w="1468"/>
        <w:gridCol w:w="1468"/>
        <w:gridCol w:w="723"/>
      </w:tblGrid>
      <w:tr w:rsidR="00301A75" w:rsidRPr="00FA7F54" w:rsidTr="0061233F">
        <w:trPr>
          <w:trHeight w:val="435"/>
          <w:jc w:val="center"/>
        </w:trPr>
        <w:tc>
          <w:tcPr>
            <w:tcW w:w="705" w:type="dxa"/>
            <w:tcBorders>
              <w:top w:val="single" w:sz="4" w:space="0" w:color="C0C0C0"/>
              <w:left w:val="single" w:sz="4" w:space="0" w:color="000000"/>
              <w:bottom w:val="single" w:sz="4" w:space="0" w:color="C0C0C0"/>
              <w:right w:val="single" w:sz="4" w:space="0" w:color="000000"/>
            </w:tcBorders>
            <w:shd w:val="clear" w:color="000000" w:fill="003366"/>
            <w:vAlign w:val="center"/>
            <w:hideMark/>
          </w:tcPr>
          <w:p w:rsidR="00301A75" w:rsidRPr="00FA7F54" w:rsidRDefault="00301A75" w:rsidP="00301A75">
            <w:pPr>
              <w:spacing w:after="0" w:line="240" w:lineRule="auto"/>
              <w:jc w:val="center"/>
              <w:rPr>
                <w:rFonts w:ascii="Arial" w:eastAsia="Times New Roman" w:hAnsi="Arial" w:cs="Arial"/>
                <w:b/>
                <w:bCs/>
                <w:color w:val="FFFFFF"/>
                <w:sz w:val="16"/>
                <w:szCs w:val="16"/>
                <w:lang w:eastAsia="hr-HR"/>
              </w:rPr>
            </w:pPr>
            <w:r w:rsidRPr="00FA7F54">
              <w:rPr>
                <w:rFonts w:ascii="Arial" w:eastAsia="Times New Roman" w:hAnsi="Arial" w:cs="Arial"/>
                <w:b/>
                <w:bCs/>
                <w:color w:val="FFFFFF"/>
                <w:sz w:val="16"/>
                <w:szCs w:val="16"/>
                <w:lang w:eastAsia="hr-HR"/>
              </w:rPr>
              <w:t>Račun GK</w:t>
            </w:r>
          </w:p>
        </w:tc>
        <w:tc>
          <w:tcPr>
            <w:tcW w:w="4829" w:type="dxa"/>
            <w:tcBorders>
              <w:top w:val="single" w:sz="4" w:space="0" w:color="C0C0C0"/>
              <w:left w:val="nil"/>
              <w:bottom w:val="single" w:sz="4" w:space="0" w:color="C0C0C0"/>
              <w:right w:val="single" w:sz="4" w:space="0" w:color="000000"/>
            </w:tcBorders>
            <w:shd w:val="clear" w:color="000000" w:fill="003366"/>
            <w:vAlign w:val="center"/>
            <w:hideMark/>
          </w:tcPr>
          <w:p w:rsidR="00301A75" w:rsidRPr="00FA7F54" w:rsidRDefault="00301A75" w:rsidP="00301A75">
            <w:pPr>
              <w:spacing w:after="0" w:line="240" w:lineRule="auto"/>
              <w:jc w:val="center"/>
              <w:rPr>
                <w:rFonts w:ascii="Arial" w:eastAsia="Times New Roman" w:hAnsi="Arial" w:cs="Arial"/>
                <w:b/>
                <w:bCs/>
                <w:color w:val="FFFFFF"/>
                <w:sz w:val="16"/>
                <w:szCs w:val="16"/>
                <w:lang w:eastAsia="hr-HR"/>
              </w:rPr>
            </w:pPr>
            <w:r w:rsidRPr="00FA7F54">
              <w:rPr>
                <w:rFonts w:ascii="Arial" w:eastAsia="Times New Roman" w:hAnsi="Arial" w:cs="Arial"/>
                <w:b/>
                <w:bCs/>
                <w:color w:val="FFFFFF"/>
                <w:sz w:val="16"/>
                <w:szCs w:val="16"/>
                <w:lang w:eastAsia="hr-HR"/>
              </w:rPr>
              <w:t>Naziv računa Glavne knjige</w:t>
            </w:r>
          </w:p>
        </w:tc>
        <w:tc>
          <w:tcPr>
            <w:tcW w:w="1468" w:type="dxa"/>
            <w:tcBorders>
              <w:top w:val="single" w:sz="4" w:space="0" w:color="C0C0C0"/>
              <w:left w:val="nil"/>
              <w:bottom w:val="single" w:sz="4" w:space="0" w:color="C0C0C0"/>
              <w:right w:val="single" w:sz="4" w:space="0" w:color="C0C0C0"/>
            </w:tcBorders>
            <w:shd w:val="clear" w:color="000000" w:fill="003366"/>
            <w:noWrap/>
            <w:vAlign w:val="center"/>
            <w:hideMark/>
          </w:tcPr>
          <w:p w:rsidR="00301A75" w:rsidRPr="00FA7F54" w:rsidRDefault="00301A75" w:rsidP="00301A75">
            <w:pPr>
              <w:spacing w:after="0" w:line="240" w:lineRule="auto"/>
              <w:jc w:val="center"/>
              <w:rPr>
                <w:rFonts w:ascii="Arial" w:eastAsia="Times New Roman" w:hAnsi="Arial" w:cs="Arial"/>
                <w:b/>
                <w:bCs/>
                <w:color w:val="FFFFFF"/>
                <w:sz w:val="16"/>
                <w:szCs w:val="16"/>
                <w:lang w:eastAsia="hr-HR"/>
              </w:rPr>
            </w:pPr>
            <w:r w:rsidRPr="00FA7F54">
              <w:rPr>
                <w:rFonts w:ascii="Arial" w:eastAsia="Times New Roman" w:hAnsi="Arial" w:cs="Arial"/>
                <w:b/>
                <w:bCs/>
                <w:color w:val="FFFFFF"/>
                <w:sz w:val="16"/>
                <w:szCs w:val="16"/>
                <w:lang w:eastAsia="hr-HR"/>
              </w:rPr>
              <w:t>2013</w:t>
            </w:r>
          </w:p>
        </w:tc>
        <w:tc>
          <w:tcPr>
            <w:tcW w:w="1468" w:type="dxa"/>
            <w:tcBorders>
              <w:top w:val="single" w:sz="4" w:space="0" w:color="C0C0C0"/>
              <w:left w:val="nil"/>
              <w:bottom w:val="single" w:sz="4" w:space="0" w:color="C0C0C0"/>
              <w:right w:val="single" w:sz="4" w:space="0" w:color="000000"/>
            </w:tcBorders>
            <w:shd w:val="clear" w:color="000000" w:fill="003366"/>
            <w:noWrap/>
            <w:vAlign w:val="center"/>
            <w:hideMark/>
          </w:tcPr>
          <w:p w:rsidR="00301A75" w:rsidRPr="00FA7F54" w:rsidRDefault="00301A75" w:rsidP="00301A75">
            <w:pPr>
              <w:spacing w:after="0" w:line="240" w:lineRule="auto"/>
              <w:jc w:val="center"/>
              <w:rPr>
                <w:rFonts w:ascii="Arial" w:eastAsia="Times New Roman" w:hAnsi="Arial" w:cs="Arial"/>
                <w:b/>
                <w:bCs/>
                <w:color w:val="FFFFFF"/>
                <w:sz w:val="16"/>
                <w:szCs w:val="16"/>
                <w:lang w:eastAsia="hr-HR"/>
              </w:rPr>
            </w:pPr>
            <w:r w:rsidRPr="00FA7F54">
              <w:rPr>
                <w:rFonts w:ascii="Arial" w:eastAsia="Times New Roman" w:hAnsi="Arial" w:cs="Arial"/>
                <w:b/>
                <w:bCs/>
                <w:color w:val="FFFFFF"/>
                <w:sz w:val="16"/>
                <w:szCs w:val="16"/>
                <w:lang w:eastAsia="hr-HR"/>
              </w:rPr>
              <w:t>2014</w:t>
            </w:r>
          </w:p>
        </w:tc>
        <w:tc>
          <w:tcPr>
            <w:tcW w:w="723" w:type="dxa"/>
            <w:tcBorders>
              <w:top w:val="single" w:sz="4" w:space="0" w:color="C0C0C0"/>
              <w:left w:val="single" w:sz="4" w:space="0" w:color="C0C0C0"/>
              <w:bottom w:val="single" w:sz="4" w:space="0" w:color="C0C0C0"/>
              <w:right w:val="single" w:sz="4" w:space="0" w:color="000000"/>
            </w:tcBorders>
            <w:shd w:val="clear" w:color="000000" w:fill="003366"/>
            <w:noWrap/>
            <w:vAlign w:val="center"/>
            <w:hideMark/>
          </w:tcPr>
          <w:p w:rsidR="00301A75" w:rsidRPr="00FA7F54" w:rsidRDefault="00301A75" w:rsidP="00301A75">
            <w:pPr>
              <w:spacing w:after="0" w:line="240" w:lineRule="auto"/>
              <w:jc w:val="center"/>
              <w:rPr>
                <w:rFonts w:ascii="Arial" w:eastAsia="Times New Roman" w:hAnsi="Arial" w:cs="Arial"/>
                <w:b/>
                <w:bCs/>
                <w:color w:val="FFFFFF"/>
                <w:sz w:val="16"/>
                <w:szCs w:val="16"/>
                <w:lang w:eastAsia="hr-HR"/>
              </w:rPr>
            </w:pPr>
            <w:r w:rsidRPr="00FA7F54">
              <w:rPr>
                <w:rFonts w:ascii="Arial" w:eastAsia="Times New Roman" w:hAnsi="Arial" w:cs="Arial"/>
                <w:b/>
                <w:bCs/>
                <w:color w:val="FFFFFF"/>
                <w:sz w:val="16"/>
                <w:szCs w:val="16"/>
                <w:lang w:eastAsia="hr-HR"/>
              </w:rPr>
              <w:t>Indeks</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000000" w:fill="DCE6F1"/>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w:t>
            </w:r>
          </w:p>
        </w:tc>
        <w:tc>
          <w:tcPr>
            <w:tcW w:w="4829" w:type="dxa"/>
            <w:tcBorders>
              <w:top w:val="nil"/>
              <w:left w:val="nil"/>
              <w:bottom w:val="single" w:sz="4" w:space="0" w:color="C0C0C0"/>
              <w:right w:val="single" w:sz="4" w:space="0" w:color="000000"/>
            </w:tcBorders>
            <w:shd w:val="clear" w:color="000000" w:fill="DCE6F1"/>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 xml:space="preserve">Materijalni rashodi </w:t>
            </w:r>
          </w:p>
        </w:tc>
        <w:tc>
          <w:tcPr>
            <w:tcW w:w="1468" w:type="dxa"/>
            <w:tcBorders>
              <w:top w:val="nil"/>
              <w:left w:val="nil"/>
              <w:bottom w:val="single" w:sz="4" w:space="0" w:color="C0C0C0"/>
              <w:right w:val="nil"/>
            </w:tcBorders>
            <w:shd w:val="clear" w:color="000000" w:fill="DCE6F1"/>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14.737.460.136</w:t>
            </w:r>
          </w:p>
        </w:tc>
        <w:tc>
          <w:tcPr>
            <w:tcW w:w="1468" w:type="dxa"/>
            <w:tcBorders>
              <w:top w:val="nil"/>
              <w:left w:val="single" w:sz="4" w:space="0" w:color="000000"/>
              <w:bottom w:val="single" w:sz="4" w:space="0" w:color="C0C0C0"/>
              <w:right w:val="nil"/>
            </w:tcBorders>
            <w:shd w:val="clear" w:color="000000" w:fill="DCE6F1"/>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14.069.825.936</w:t>
            </w:r>
          </w:p>
        </w:tc>
        <w:tc>
          <w:tcPr>
            <w:tcW w:w="723" w:type="dxa"/>
            <w:tcBorders>
              <w:top w:val="nil"/>
              <w:left w:val="single" w:sz="4" w:space="0" w:color="000000"/>
              <w:bottom w:val="single" w:sz="4" w:space="0" w:color="C0C0C0"/>
              <w:right w:val="single" w:sz="4" w:space="0" w:color="C0C0C0"/>
            </w:tcBorders>
            <w:shd w:val="clear" w:color="000000" w:fill="DCE6F1"/>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95,5</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000000" w:fill="DCE6F1"/>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321</w:t>
            </w:r>
          </w:p>
        </w:tc>
        <w:tc>
          <w:tcPr>
            <w:tcW w:w="4829" w:type="dxa"/>
            <w:tcBorders>
              <w:top w:val="nil"/>
              <w:left w:val="nil"/>
              <w:bottom w:val="single" w:sz="4" w:space="0" w:color="C0C0C0"/>
              <w:right w:val="single" w:sz="4" w:space="0" w:color="000000"/>
            </w:tcBorders>
            <w:shd w:val="clear" w:color="000000" w:fill="DCE6F1"/>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 xml:space="preserve">Naknade troškova zaposlenima </w:t>
            </w:r>
          </w:p>
        </w:tc>
        <w:tc>
          <w:tcPr>
            <w:tcW w:w="1468" w:type="dxa"/>
            <w:tcBorders>
              <w:top w:val="nil"/>
              <w:left w:val="nil"/>
              <w:bottom w:val="single" w:sz="4" w:space="0" w:color="C0C0C0"/>
              <w:right w:val="nil"/>
            </w:tcBorders>
            <w:shd w:val="clear" w:color="000000" w:fill="DCE6F1"/>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1.341.786.402</w:t>
            </w:r>
          </w:p>
        </w:tc>
        <w:tc>
          <w:tcPr>
            <w:tcW w:w="1468" w:type="dxa"/>
            <w:tcBorders>
              <w:top w:val="nil"/>
              <w:left w:val="single" w:sz="4" w:space="0" w:color="000000"/>
              <w:bottom w:val="single" w:sz="4" w:space="0" w:color="C0C0C0"/>
              <w:right w:val="nil"/>
            </w:tcBorders>
            <w:shd w:val="clear" w:color="000000" w:fill="DCE6F1"/>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1.186.190.922</w:t>
            </w:r>
          </w:p>
        </w:tc>
        <w:tc>
          <w:tcPr>
            <w:tcW w:w="723" w:type="dxa"/>
            <w:tcBorders>
              <w:top w:val="nil"/>
              <w:left w:val="single" w:sz="4" w:space="0" w:color="000000"/>
              <w:bottom w:val="single" w:sz="4" w:space="0" w:color="C0C0C0"/>
              <w:right w:val="single" w:sz="4" w:space="0" w:color="C0C0C0"/>
            </w:tcBorders>
            <w:shd w:val="clear" w:color="000000" w:fill="DCE6F1"/>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88,4</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3211</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Službena putovanja</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282.928.646</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290.237.856</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102,6</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3212</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Naknade za prijevoz, za rad na terenu i odvojeni život</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989.216.603</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817.616.670</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82,7</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3213</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Stručno usavršavanje zaposlenika</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54.588.254</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60.157.411</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110,2</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3214</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Ostale naknade troškova zaposlenima</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15.052.899</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18.178.985</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120,8</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000000" w:fill="DCE6F1"/>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322</w:t>
            </w:r>
          </w:p>
        </w:tc>
        <w:tc>
          <w:tcPr>
            <w:tcW w:w="4829" w:type="dxa"/>
            <w:tcBorders>
              <w:top w:val="nil"/>
              <w:left w:val="nil"/>
              <w:bottom w:val="single" w:sz="4" w:space="0" w:color="C0C0C0"/>
              <w:right w:val="single" w:sz="4" w:space="0" w:color="000000"/>
            </w:tcBorders>
            <w:shd w:val="clear" w:color="000000" w:fill="DCE6F1"/>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Rashodi za materijal i energiju</w:t>
            </w:r>
          </w:p>
        </w:tc>
        <w:tc>
          <w:tcPr>
            <w:tcW w:w="1468" w:type="dxa"/>
            <w:tcBorders>
              <w:top w:val="nil"/>
              <w:left w:val="nil"/>
              <w:bottom w:val="single" w:sz="4" w:space="0" w:color="C0C0C0"/>
              <w:right w:val="nil"/>
            </w:tcBorders>
            <w:shd w:val="clear" w:color="000000" w:fill="DCE6F1"/>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4.506.675.202</w:t>
            </w:r>
          </w:p>
        </w:tc>
        <w:tc>
          <w:tcPr>
            <w:tcW w:w="1468" w:type="dxa"/>
            <w:tcBorders>
              <w:top w:val="nil"/>
              <w:left w:val="single" w:sz="4" w:space="0" w:color="000000"/>
              <w:bottom w:val="single" w:sz="4" w:space="0" w:color="C0C0C0"/>
              <w:right w:val="nil"/>
            </w:tcBorders>
            <w:shd w:val="clear" w:color="000000" w:fill="DCE6F1"/>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4.451.463.749</w:t>
            </w:r>
          </w:p>
        </w:tc>
        <w:tc>
          <w:tcPr>
            <w:tcW w:w="723" w:type="dxa"/>
            <w:tcBorders>
              <w:top w:val="nil"/>
              <w:left w:val="single" w:sz="4" w:space="0" w:color="000000"/>
              <w:bottom w:val="single" w:sz="4" w:space="0" w:color="C0C0C0"/>
              <w:right w:val="single" w:sz="4" w:space="0" w:color="C0C0C0"/>
            </w:tcBorders>
            <w:shd w:val="clear" w:color="000000" w:fill="DCE6F1"/>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98,8</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3221</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Uredski materijal i ostali materijalni rashodi</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339.224.170</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324.154.946</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95,6</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3222</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Materijal i sirovine</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2.340.922.509</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2.484.868.566</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106,1</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3223</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Energija</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996.781.358</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903.104.037</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90,6</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3224</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Materijal i dijelovi za tekuće i investicijsko održavanje</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123.264.197</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144.010.886</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116,8</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3225</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Sitni inventar i auto gume</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57.599.456</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58.180.300</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101,0</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3226</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 xml:space="preserve">Vojna oprema </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525.129.061</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360.303.021</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68,6</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3227</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Službena, radna i zaštitna odjeća i obuća</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123.754.451</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176.841.993</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142,9</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000000" w:fill="DCE6F1"/>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323</w:t>
            </w:r>
          </w:p>
        </w:tc>
        <w:tc>
          <w:tcPr>
            <w:tcW w:w="4829" w:type="dxa"/>
            <w:tcBorders>
              <w:top w:val="nil"/>
              <w:left w:val="nil"/>
              <w:bottom w:val="single" w:sz="4" w:space="0" w:color="C0C0C0"/>
              <w:right w:val="single" w:sz="4" w:space="0" w:color="000000"/>
            </w:tcBorders>
            <w:shd w:val="clear" w:color="000000" w:fill="DCE6F1"/>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Rashodi za usluge</w:t>
            </w:r>
          </w:p>
        </w:tc>
        <w:tc>
          <w:tcPr>
            <w:tcW w:w="1468" w:type="dxa"/>
            <w:tcBorders>
              <w:top w:val="nil"/>
              <w:left w:val="nil"/>
              <w:bottom w:val="single" w:sz="4" w:space="0" w:color="C0C0C0"/>
              <w:right w:val="nil"/>
            </w:tcBorders>
            <w:shd w:val="clear" w:color="000000" w:fill="DCE6F1"/>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7.039.148.731</w:t>
            </w:r>
          </w:p>
        </w:tc>
        <w:tc>
          <w:tcPr>
            <w:tcW w:w="1468" w:type="dxa"/>
            <w:tcBorders>
              <w:top w:val="nil"/>
              <w:left w:val="single" w:sz="4" w:space="0" w:color="000000"/>
              <w:bottom w:val="single" w:sz="4" w:space="0" w:color="C0C0C0"/>
              <w:right w:val="nil"/>
            </w:tcBorders>
            <w:shd w:val="clear" w:color="000000" w:fill="DCE6F1"/>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6.757.990.362</w:t>
            </w:r>
          </w:p>
        </w:tc>
        <w:tc>
          <w:tcPr>
            <w:tcW w:w="723" w:type="dxa"/>
            <w:tcBorders>
              <w:top w:val="nil"/>
              <w:left w:val="single" w:sz="4" w:space="0" w:color="000000"/>
              <w:bottom w:val="single" w:sz="4" w:space="0" w:color="C0C0C0"/>
              <w:right w:val="single" w:sz="4" w:space="0" w:color="C0C0C0"/>
            </w:tcBorders>
            <w:shd w:val="clear" w:color="000000" w:fill="DCE6F1"/>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96,0</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3231</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Usluge telefona, pošte i prijevoza</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577.068.787</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530.598.860</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91,9</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3232</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Usluge tekućeg i investicijskog održavanja</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2.239.745.735</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2.167.405.351</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96,8</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3233</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Usluge promidžbe i informiranja</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118.419.017</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112.109.695</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94,7</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3234</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Komunalne usluge</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315.425.989</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335.926.133</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106,5</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3235</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Zakupnine i najamnine</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676.250.607</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728.719.817</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107,8</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3236</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Zdravstvene i veterinarske usluge</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359.319.353</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374.412.654</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104,2</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3237</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Intelektualne i osobne usluge</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1.187.300.028</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1.125.863.545</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94,8</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3238</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Računalne usluge</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467.715.687</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437.013.262</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93,4</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3239</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Ostale usluge</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1.097.903.528</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945.941.045</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86,2</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000000" w:fill="DCE6F1"/>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324</w:t>
            </w:r>
          </w:p>
        </w:tc>
        <w:tc>
          <w:tcPr>
            <w:tcW w:w="4829" w:type="dxa"/>
            <w:tcBorders>
              <w:top w:val="nil"/>
              <w:left w:val="nil"/>
              <w:bottom w:val="single" w:sz="4" w:space="0" w:color="C0C0C0"/>
              <w:right w:val="single" w:sz="4" w:space="0" w:color="000000"/>
            </w:tcBorders>
            <w:shd w:val="clear" w:color="000000" w:fill="DCE6F1"/>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 xml:space="preserve">Naknade troškova osobama izvan radnog odnosa </w:t>
            </w:r>
          </w:p>
        </w:tc>
        <w:tc>
          <w:tcPr>
            <w:tcW w:w="1468" w:type="dxa"/>
            <w:tcBorders>
              <w:top w:val="nil"/>
              <w:left w:val="nil"/>
              <w:bottom w:val="single" w:sz="4" w:space="0" w:color="C0C0C0"/>
              <w:right w:val="nil"/>
            </w:tcBorders>
            <w:shd w:val="clear" w:color="000000" w:fill="DCE6F1"/>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51.558.777</w:t>
            </w:r>
          </w:p>
        </w:tc>
        <w:tc>
          <w:tcPr>
            <w:tcW w:w="1468" w:type="dxa"/>
            <w:tcBorders>
              <w:top w:val="nil"/>
              <w:left w:val="single" w:sz="4" w:space="0" w:color="000000"/>
              <w:bottom w:val="single" w:sz="4" w:space="0" w:color="C0C0C0"/>
              <w:right w:val="nil"/>
            </w:tcBorders>
            <w:shd w:val="clear" w:color="000000" w:fill="DCE6F1"/>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67.149.993</w:t>
            </w:r>
          </w:p>
        </w:tc>
        <w:tc>
          <w:tcPr>
            <w:tcW w:w="723" w:type="dxa"/>
            <w:tcBorders>
              <w:top w:val="nil"/>
              <w:left w:val="single" w:sz="4" w:space="0" w:color="000000"/>
              <w:bottom w:val="single" w:sz="4" w:space="0" w:color="C0C0C0"/>
              <w:right w:val="single" w:sz="4" w:space="0" w:color="C0C0C0"/>
            </w:tcBorders>
            <w:shd w:val="clear" w:color="000000" w:fill="DCE6F1"/>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130,2</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3241</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Naknade troškova osobama izvan radnog odnosa</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51.558.777</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67.149.993</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130,2</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000000" w:fill="DCE6F1"/>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329</w:t>
            </w:r>
          </w:p>
        </w:tc>
        <w:tc>
          <w:tcPr>
            <w:tcW w:w="4829" w:type="dxa"/>
            <w:tcBorders>
              <w:top w:val="nil"/>
              <w:left w:val="nil"/>
              <w:bottom w:val="single" w:sz="4" w:space="0" w:color="C0C0C0"/>
              <w:right w:val="single" w:sz="4" w:space="0" w:color="000000"/>
            </w:tcBorders>
            <w:shd w:val="clear" w:color="000000" w:fill="DCE6F1"/>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 xml:space="preserve">Ostali nespomenuti rashodi poslovanja </w:t>
            </w:r>
          </w:p>
        </w:tc>
        <w:tc>
          <w:tcPr>
            <w:tcW w:w="1468" w:type="dxa"/>
            <w:tcBorders>
              <w:top w:val="nil"/>
              <w:left w:val="nil"/>
              <w:bottom w:val="single" w:sz="4" w:space="0" w:color="C0C0C0"/>
              <w:right w:val="nil"/>
            </w:tcBorders>
            <w:shd w:val="clear" w:color="000000" w:fill="DCE6F1"/>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1.798.291.024</w:t>
            </w:r>
          </w:p>
        </w:tc>
        <w:tc>
          <w:tcPr>
            <w:tcW w:w="1468" w:type="dxa"/>
            <w:tcBorders>
              <w:top w:val="nil"/>
              <w:left w:val="single" w:sz="4" w:space="0" w:color="000000"/>
              <w:bottom w:val="single" w:sz="4" w:space="0" w:color="C0C0C0"/>
              <w:right w:val="nil"/>
            </w:tcBorders>
            <w:shd w:val="clear" w:color="000000" w:fill="DCE6F1"/>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1.607.030.910</w:t>
            </w:r>
          </w:p>
        </w:tc>
        <w:tc>
          <w:tcPr>
            <w:tcW w:w="723" w:type="dxa"/>
            <w:tcBorders>
              <w:top w:val="nil"/>
              <w:left w:val="single" w:sz="4" w:space="0" w:color="000000"/>
              <w:bottom w:val="single" w:sz="4" w:space="0" w:color="C0C0C0"/>
              <w:right w:val="single" w:sz="4" w:space="0" w:color="C0C0C0"/>
            </w:tcBorders>
            <w:shd w:val="clear" w:color="000000" w:fill="DCE6F1"/>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89,4</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3291</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Naknade za rad predstavničkih i izvršnih tijela, povjerenstava i slično</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153.577.305</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119.427.947</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77,8</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3292</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Premije osiguranja</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68.090.324</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62.653.188</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92,0</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3293</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Reprezentacija</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46.201.187</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44.511.506</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96,3</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3294</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Članarine</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256.440.140</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150.968.818</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58,9</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3295</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Pristojbe i naknade</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21.090.805</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119.843.491</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568,2</w:t>
            </w:r>
          </w:p>
        </w:tc>
      </w:tr>
      <w:tr w:rsidR="00301A75" w:rsidRPr="00FA7F54" w:rsidTr="0061233F">
        <w:trPr>
          <w:trHeight w:val="255"/>
          <w:jc w:val="center"/>
        </w:trPr>
        <w:tc>
          <w:tcPr>
            <w:tcW w:w="705" w:type="dxa"/>
            <w:tcBorders>
              <w:top w:val="nil"/>
              <w:left w:val="single" w:sz="4" w:space="0" w:color="000000"/>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3299</w:t>
            </w:r>
          </w:p>
        </w:tc>
        <w:tc>
          <w:tcPr>
            <w:tcW w:w="4829" w:type="dxa"/>
            <w:tcBorders>
              <w:top w:val="nil"/>
              <w:left w:val="nil"/>
              <w:bottom w:val="single" w:sz="4" w:space="0" w:color="C0C0C0"/>
              <w:right w:val="single" w:sz="4" w:space="0" w:color="000000"/>
            </w:tcBorders>
            <w:shd w:val="clear" w:color="auto" w:fill="auto"/>
            <w:noWrap/>
            <w:vAlign w:val="center"/>
            <w:hideMark/>
          </w:tcPr>
          <w:p w:rsidR="00301A75" w:rsidRPr="00FA7F54" w:rsidRDefault="00301A75" w:rsidP="00301A75">
            <w:pPr>
              <w:spacing w:after="0" w:line="240" w:lineRule="auto"/>
              <w:rPr>
                <w:rFonts w:ascii="Arial" w:eastAsia="Times New Roman" w:hAnsi="Arial" w:cs="Arial"/>
                <w:b/>
                <w:bCs/>
                <w:color w:val="003366"/>
                <w:sz w:val="16"/>
                <w:szCs w:val="16"/>
                <w:lang w:eastAsia="hr-HR"/>
              </w:rPr>
            </w:pPr>
            <w:r w:rsidRPr="00FA7F54">
              <w:rPr>
                <w:rFonts w:ascii="Arial" w:eastAsia="Times New Roman" w:hAnsi="Arial" w:cs="Arial"/>
                <w:b/>
                <w:bCs/>
                <w:color w:val="003366"/>
                <w:sz w:val="16"/>
                <w:szCs w:val="16"/>
                <w:lang w:eastAsia="hr-HR"/>
              </w:rPr>
              <w:t xml:space="preserve">Ostali nespomenuti rashodi poslovanja </w:t>
            </w:r>
          </w:p>
        </w:tc>
        <w:tc>
          <w:tcPr>
            <w:tcW w:w="1468" w:type="dxa"/>
            <w:tcBorders>
              <w:top w:val="nil"/>
              <w:left w:val="nil"/>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1.252.891.263</w:t>
            </w:r>
          </w:p>
        </w:tc>
        <w:tc>
          <w:tcPr>
            <w:tcW w:w="1468" w:type="dxa"/>
            <w:tcBorders>
              <w:top w:val="nil"/>
              <w:left w:val="single" w:sz="4" w:space="0" w:color="000000"/>
              <w:bottom w:val="single" w:sz="4" w:space="0" w:color="C0C0C0"/>
              <w:right w:val="nil"/>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1.109.625.960</w:t>
            </w:r>
          </w:p>
        </w:tc>
        <w:tc>
          <w:tcPr>
            <w:tcW w:w="723" w:type="dxa"/>
            <w:tcBorders>
              <w:top w:val="nil"/>
              <w:left w:val="single" w:sz="4" w:space="0" w:color="000000"/>
              <w:bottom w:val="single" w:sz="4" w:space="0" w:color="C0C0C0"/>
              <w:right w:val="single" w:sz="4" w:space="0" w:color="C0C0C0"/>
            </w:tcBorders>
            <w:shd w:val="clear" w:color="auto" w:fill="auto"/>
            <w:noWrap/>
            <w:vAlign w:val="center"/>
            <w:hideMark/>
          </w:tcPr>
          <w:p w:rsidR="00301A75" w:rsidRPr="00FA7F54" w:rsidRDefault="00301A75" w:rsidP="00301A75">
            <w:pPr>
              <w:spacing w:after="0" w:line="240" w:lineRule="auto"/>
              <w:jc w:val="right"/>
              <w:rPr>
                <w:rFonts w:ascii="Arial" w:eastAsia="Times New Roman" w:hAnsi="Arial" w:cs="Arial"/>
                <w:color w:val="003366"/>
                <w:sz w:val="16"/>
                <w:szCs w:val="16"/>
                <w:lang w:eastAsia="hr-HR"/>
              </w:rPr>
            </w:pPr>
            <w:r w:rsidRPr="00FA7F54">
              <w:rPr>
                <w:rFonts w:ascii="Arial" w:eastAsia="Times New Roman" w:hAnsi="Arial" w:cs="Arial"/>
                <w:color w:val="003366"/>
                <w:sz w:val="16"/>
                <w:szCs w:val="16"/>
                <w:lang w:eastAsia="hr-HR"/>
              </w:rPr>
              <w:t>88,6</w:t>
            </w:r>
          </w:p>
        </w:tc>
      </w:tr>
    </w:tbl>
    <w:p w:rsidR="007500E1" w:rsidRDefault="007500E1" w:rsidP="0023543A">
      <w:pPr>
        <w:spacing w:after="0" w:line="240" w:lineRule="auto"/>
        <w:jc w:val="both"/>
        <w:rPr>
          <w:rFonts w:ascii="Times New Roman" w:hAnsi="Times New Roman" w:cs="Times New Roman"/>
        </w:rPr>
      </w:pPr>
    </w:p>
    <w:p w:rsidR="0067693E" w:rsidRPr="00C946BC" w:rsidRDefault="00F446A5" w:rsidP="00C83540">
      <w:pPr>
        <w:spacing w:line="240" w:lineRule="auto"/>
        <w:jc w:val="both"/>
        <w:rPr>
          <w:rFonts w:ascii="Times New Roman" w:hAnsi="Times New Roman" w:cs="Times New Roman"/>
        </w:rPr>
      </w:pPr>
      <w:r w:rsidRPr="00C946BC">
        <w:rPr>
          <w:rFonts w:ascii="Times New Roman" w:hAnsi="Times New Roman" w:cs="Times New Roman"/>
        </w:rPr>
        <w:t>U ukupnim materijalnim rashodima najveći udio čine rashodi za usluge (48</w:t>
      </w:r>
      <w:r w:rsidR="00472068">
        <w:rPr>
          <w:rFonts w:ascii="Times New Roman" w:hAnsi="Times New Roman" w:cs="Times New Roman"/>
        </w:rPr>
        <w:t>%</w:t>
      </w:r>
      <w:r w:rsidRPr="00C946BC">
        <w:rPr>
          <w:rFonts w:ascii="Times New Roman" w:hAnsi="Times New Roman" w:cs="Times New Roman"/>
        </w:rPr>
        <w:t xml:space="preserve"> u 2014. godini) i rashodi za materijal i energiju (31</w:t>
      </w:r>
      <w:r w:rsidR="00472068">
        <w:rPr>
          <w:rFonts w:ascii="Times New Roman" w:hAnsi="Times New Roman" w:cs="Times New Roman"/>
        </w:rPr>
        <w:t>%</w:t>
      </w:r>
      <w:r w:rsidRPr="00C946BC">
        <w:rPr>
          <w:rFonts w:ascii="Times New Roman" w:hAnsi="Times New Roman" w:cs="Times New Roman"/>
        </w:rPr>
        <w:t xml:space="preserve"> u 2014. godini) dok preostali dio čine ostali nespomenuti rashodi (11</w:t>
      </w:r>
      <w:r w:rsidR="00472068">
        <w:rPr>
          <w:rFonts w:ascii="Times New Roman" w:hAnsi="Times New Roman" w:cs="Times New Roman"/>
        </w:rPr>
        <w:t>%</w:t>
      </w:r>
      <w:r w:rsidRPr="00C946BC">
        <w:rPr>
          <w:rFonts w:ascii="Times New Roman" w:hAnsi="Times New Roman" w:cs="Times New Roman"/>
        </w:rPr>
        <w:t xml:space="preserve"> u 2014. godini) i naknade troškova zaposlenima i osobama izvan radnog odnosa (9</w:t>
      </w:r>
      <w:r w:rsidR="00472068">
        <w:rPr>
          <w:rFonts w:ascii="Times New Roman" w:hAnsi="Times New Roman" w:cs="Times New Roman"/>
        </w:rPr>
        <w:t>%</w:t>
      </w:r>
      <w:r w:rsidRPr="00C946BC">
        <w:rPr>
          <w:rFonts w:ascii="Times New Roman" w:hAnsi="Times New Roman" w:cs="Times New Roman"/>
        </w:rPr>
        <w:t xml:space="preserve"> u 2014. godini).</w:t>
      </w:r>
    </w:p>
    <w:p w:rsidR="000C7A07" w:rsidRPr="00FA7F54" w:rsidRDefault="00154888" w:rsidP="00B072BE">
      <w:pPr>
        <w:spacing w:after="0" w:line="240" w:lineRule="auto"/>
        <w:jc w:val="both"/>
        <w:rPr>
          <w:rFonts w:ascii="Times New Roman" w:hAnsi="Times New Roman" w:cs="Times New Roman"/>
          <w:u w:val="single"/>
        </w:rPr>
      </w:pPr>
      <w:r w:rsidRPr="00FA7F54">
        <w:rPr>
          <w:rFonts w:ascii="Times New Roman" w:hAnsi="Times New Roman" w:cs="Times New Roman"/>
          <w:u w:val="single"/>
        </w:rPr>
        <w:t>Materijalni rashodi prema</w:t>
      </w:r>
      <w:r w:rsidR="001A312D" w:rsidRPr="00FA7F54">
        <w:rPr>
          <w:rFonts w:ascii="Times New Roman" w:hAnsi="Times New Roman" w:cs="Times New Roman"/>
          <w:u w:val="single"/>
        </w:rPr>
        <w:t xml:space="preserve"> </w:t>
      </w:r>
      <w:r w:rsidR="000C7A07" w:rsidRPr="00FA7F54">
        <w:rPr>
          <w:rFonts w:ascii="Times New Roman" w:hAnsi="Times New Roman" w:cs="Times New Roman"/>
          <w:u w:val="single"/>
        </w:rPr>
        <w:t>Izvještaj</w:t>
      </w:r>
      <w:r w:rsidRPr="00FA7F54">
        <w:rPr>
          <w:rFonts w:ascii="Times New Roman" w:hAnsi="Times New Roman" w:cs="Times New Roman"/>
          <w:u w:val="single"/>
        </w:rPr>
        <w:t>u</w:t>
      </w:r>
      <w:r w:rsidR="000C7A07" w:rsidRPr="00FA7F54">
        <w:rPr>
          <w:rFonts w:ascii="Times New Roman" w:hAnsi="Times New Roman" w:cs="Times New Roman"/>
          <w:u w:val="single"/>
        </w:rPr>
        <w:t xml:space="preserve"> o izvršenju državnog proračuna</w:t>
      </w:r>
      <w:r w:rsidR="00DB065B">
        <w:rPr>
          <w:rStyle w:val="Referencafusnote"/>
          <w:rFonts w:ascii="Times New Roman" w:hAnsi="Times New Roman" w:cs="Times New Roman"/>
          <w:u w:val="single"/>
        </w:rPr>
        <w:footnoteReference w:id="4"/>
      </w:r>
      <w:r w:rsidR="000C7A07" w:rsidRPr="00FA7F54">
        <w:rPr>
          <w:rFonts w:ascii="Times New Roman" w:hAnsi="Times New Roman" w:cs="Times New Roman"/>
          <w:u w:val="single"/>
        </w:rPr>
        <w:t xml:space="preserve"> </w:t>
      </w:r>
    </w:p>
    <w:p w:rsidR="00B34AC1" w:rsidRPr="00FA7F54" w:rsidRDefault="00B56B14" w:rsidP="00B072BE">
      <w:pPr>
        <w:spacing w:after="0" w:line="240" w:lineRule="auto"/>
        <w:jc w:val="both"/>
        <w:rPr>
          <w:rFonts w:ascii="Times New Roman" w:hAnsi="Times New Roman" w:cs="Times New Roman"/>
        </w:rPr>
      </w:pPr>
      <w:r w:rsidRPr="00FA7F54">
        <w:rPr>
          <w:rFonts w:ascii="Times New Roman" w:hAnsi="Times New Roman" w:cs="Times New Roman"/>
        </w:rPr>
        <w:t>Ukupni materijalni rashodi državnog proračuna kreću se na razini 8 ml</w:t>
      </w:r>
      <w:r w:rsidR="00161D5F" w:rsidRPr="00FA7F54">
        <w:rPr>
          <w:rFonts w:ascii="Times New Roman" w:hAnsi="Times New Roman" w:cs="Times New Roman"/>
        </w:rPr>
        <w:t>r</w:t>
      </w:r>
      <w:r w:rsidRPr="00FA7F54">
        <w:rPr>
          <w:rFonts w:ascii="Times New Roman" w:hAnsi="Times New Roman" w:cs="Times New Roman"/>
        </w:rPr>
        <w:t>d.</w:t>
      </w:r>
      <w:r w:rsidR="001940C3" w:rsidRPr="00FA7F54">
        <w:rPr>
          <w:rFonts w:ascii="Times New Roman" w:hAnsi="Times New Roman" w:cs="Times New Roman"/>
        </w:rPr>
        <w:t xml:space="preserve"> </w:t>
      </w:r>
      <w:r w:rsidR="00E92E83">
        <w:rPr>
          <w:rFonts w:ascii="Times New Roman" w:hAnsi="Times New Roman" w:cs="Times New Roman"/>
        </w:rPr>
        <w:t xml:space="preserve">kuna </w:t>
      </w:r>
      <w:r w:rsidR="00D13AFF">
        <w:rPr>
          <w:rFonts w:ascii="Times New Roman" w:hAnsi="Times New Roman" w:cs="Times New Roman"/>
        </w:rPr>
        <w:t>prema izvršenju državnog proračuna</w:t>
      </w:r>
      <w:r w:rsidRPr="00FA7F54">
        <w:rPr>
          <w:rFonts w:ascii="Times New Roman" w:hAnsi="Times New Roman" w:cs="Times New Roman"/>
        </w:rPr>
        <w:t xml:space="preserve"> u 2013. odnosno 7,6 ml</w:t>
      </w:r>
      <w:r w:rsidR="00161D5F" w:rsidRPr="00FA7F54">
        <w:rPr>
          <w:rFonts w:ascii="Times New Roman" w:hAnsi="Times New Roman" w:cs="Times New Roman"/>
        </w:rPr>
        <w:t>r</w:t>
      </w:r>
      <w:r w:rsidRPr="00FA7F54">
        <w:rPr>
          <w:rFonts w:ascii="Times New Roman" w:hAnsi="Times New Roman" w:cs="Times New Roman"/>
        </w:rPr>
        <w:t>d.</w:t>
      </w:r>
      <w:r w:rsidR="00D13AFF">
        <w:rPr>
          <w:rFonts w:ascii="Times New Roman" w:hAnsi="Times New Roman" w:cs="Times New Roman"/>
        </w:rPr>
        <w:t xml:space="preserve"> </w:t>
      </w:r>
      <w:r w:rsidR="00E92E83">
        <w:rPr>
          <w:rFonts w:ascii="Times New Roman" w:hAnsi="Times New Roman" w:cs="Times New Roman"/>
        </w:rPr>
        <w:t xml:space="preserve">kuna </w:t>
      </w:r>
      <w:r w:rsidR="00D13AFF">
        <w:rPr>
          <w:rFonts w:ascii="Times New Roman" w:hAnsi="Times New Roman" w:cs="Times New Roman"/>
        </w:rPr>
        <w:t>prema izvršenju državnog proračuna</w:t>
      </w:r>
      <w:r w:rsidRPr="00FA7F54">
        <w:rPr>
          <w:rFonts w:ascii="Times New Roman" w:hAnsi="Times New Roman" w:cs="Times New Roman"/>
        </w:rPr>
        <w:t xml:space="preserve"> u 2014. </w:t>
      </w:r>
      <w:r w:rsidRPr="00FA7F54">
        <w:rPr>
          <w:rFonts w:ascii="Times New Roman" w:hAnsi="Times New Roman" w:cs="Times New Roman"/>
        </w:rPr>
        <w:lastRenderedPageBreak/>
        <w:t>godini</w:t>
      </w:r>
      <w:r w:rsidR="007D109D" w:rsidRPr="00FA7F54">
        <w:rPr>
          <w:rFonts w:ascii="Times New Roman" w:hAnsi="Times New Roman" w:cs="Times New Roman"/>
        </w:rPr>
        <w:t>. U</w:t>
      </w:r>
      <w:r w:rsidRPr="00FA7F54">
        <w:rPr>
          <w:rFonts w:ascii="Times New Roman" w:hAnsi="Times New Roman" w:cs="Times New Roman"/>
        </w:rPr>
        <w:t xml:space="preserve"> 2015. godini </w:t>
      </w:r>
      <w:r w:rsidR="007D109D" w:rsidRPr="00FA7F54">
        <w:rPr>
          <w:rFonts w:ascii="Times New Roman" w:hAnsi="Times New Roman" w:cs="Times New Roman"/>
        </w:rPr>
        <w:t xml:space="preserve">razvidan je trend porasta </w:t>
      </w:r>
      <w:r w:rsidRPr="00FA7F54">
        <w:rPr>
          <w:rFonts w:ascii="Times New Roman" w:hAnsi="Times New Roman" w:cs="Times New Roman"/>
        </w:rPr>
        <w:t>na 10,1 ml</w:t>
      </w:r>
      <w:r w:rsidR="00161D5F" w:rsidRPr="00FA7F54">
        <w:rPr>
          <w:rFonts w:ascii="Times New Roman" w:hAnsi="Times New Roman" w:cs="Times New Roman"/>
        </w:rPr>
        <w:t>r</w:t>
      </w:r>
      <w:r w:rsidRPr="00FA7F54">
        <w:rPr>
          <w:rFonts w:ascii="Times New Roman" w:hAnsi="Times New Roman" w:cs="Times New Roman"/>
        </w:rPr>
        <w:t>d.</w:t>
      </w:r>
      <w:r w:rsidR="00807E3B">
        <w:rPr>
          <w:rFonts w:ascii="Times New Roman" w:hAnsi="Times New Roman" w:cs="Times New Roman"/>
        </w:rPr>
        <w:t xml:space="preserve"> kuna</w:t>
      </w:r>
      <w:r w:rsidR="00DF2788" w:rsidRPr="00FA7F54">
        <w:rPr>
          <w:rFonts w:ascii="Times New Roman" w:hAnsi="Times New Roman" w:cs="Times New Roman"/>
        </w:rPr>
        <w:t xml:space="preserve"> planiranih </w:t>
      </w:r>
      <w:r w:rsidR="007D109D" w:rsidRPr="00FA7F54">
        <w:rPr>
          <w:rFonts w:ascii="Times New Roman" w:hAnsi="Times New Roman" w:cs="Times New Roman"/>
        </w:rPr>
        <w:t>materijalnih rashoda</w:t>
      </w:r>
      <w:r w:rsidRPr="00FA7F54">
        <w:rPr>
          <w:rFonts w:ascii="Times New Roman" w:hAnsi="Times New Roman" w:cs="Times New Roman"/>
        </w:rPr>
        <w:t xml:space="preserve"> </w:t>
      </w:r>
      <w:r w:rsidR="00807E3B">
        <w:rPr>
          <w:rFonts w:ascii="Times New Roman" w:hAnsi="Times New Roman" w:cs="Times New Roman"/>
        </w:rPr>
        <w:t>i to prvenstveno</w:t>
      </w:r>
      <w:r w:rsidR="00BA4105" w:rsidRPr="00FA7F54">
        <w:rPr>
          <w:rFonts w:ascii="Times New Roman" w:hAnsi="Times New Roman" w:cs="Times New Roman"/>
        </w:rPr>
        <w:t xml:space="preserve"> </w:t>
      </w:r>
      <w:r w:rsidRPr="00FA7F54">
        <w:rPr>
          <w:rFonts w:ascii="Times New Roman" w:hAnsi="Times New Roman" w:cs="Times New Roman"/>
        </w:rPr>
        <w:t xml:space="preserve">zbog uključivanja vlastitih i namjenskih prihoda u državni proračun. </w:t>
      </w:r>
    </w:p>
    <w:p w:rsidR="002E6C9A" w:rsidRPr="00FA7F54" w:rsidRDefault="00B56B14" w:rsidP="00AD314A">
      <w:pPr>
        <w:spacing w:after="0" w:line="240" w:lineRule="auto"/>
        <w:jc w:val="both"/>
        <w:rPr>
          <w:rFonts w:ascii="Times New Roman" w:hAnsi="Times New Roman" w:cs="Times New Roman"/>
        </w:rPr>
      </w:pPr>
      <w:r w:rsidRPr="00FA7F54">
        <w:rPr>
          <w:rFonts w:ascii="Times New Roman" w:hAnsi="Times New Roman" w:cs="Times New Roman"/>
        </w:rPr>
        <w:t xml:space="preserve">Promatrajući samo izvore </w:t>
      </w:r>
      <w:r w:rsidR="00D47A60" w:rsidRPr="00FA7F54">
        <w:rPr>
          <w:rFonts w:ascii="Times New Roman" w:hAnsi="Times New Roman" w:cs="Times New Roman"/>
        </w:rPr>
        <w:t>u limitu</w:t>
      </w:r>
      <w:r w:rsidRPr="00FA7F54">
        <w:rPr>
          <w:rFonts w:ascii="Times New Roman" w:hAnsi="Times New Roman" w:cs="Times New Roman"/>
        </w:rPr>
        <w:t xml:space="preserve"> (Opći prihodi i primici, Doprinosi i Namjenski primici od zaduživanja) materijalni rashodi su u 2013. godini iznosili 7,3 ml</w:t>
      </w:r>
      <w:r w:rsidR="00161D5F" w:rsidRPr="00FA7F54">
        <w:rPr>
          <w:rFonts w:ascii="Times New Roman" w:hAnsi="Times New Roman" w:cs="Times New Roman"/>
        </w:rPr>
        <w:t>r</w:t>
      </w:r>
      <w:r w:rsidRPr="00FA7F54">
        <w:rPr>
          <w:rFonts w:ascii="Times New Roman" w:hAnsi="Times New Roman" w:cs="Times New Roman"/>
        </w:rPr>
        <w:t xml:space="preserve">d. </w:t>
      </w:r>
      <w:r w:rsidR="00807E3B">
        <w:rPr>
          <w:rFonts w:ascii="Times New Roman" w:hAnsi="Times New Roman" w:cs="Times New Roman"/>
        </w:rPr>
        <w:t xml:space="preserve">kuna </w:t>
      </w:r>
      <w:r w:rsidRPr="00FA7F54">
        <w:rPr>
          <w:rFonts w:ascii="Times New Roman" w:hAnsi="Times New Roman" w:cs="Times New Roman"/>
        </w:rPr>
        <w:t>te su u 2014. godini smanjeni za 6,4</w:t>
      </w:r>
      <w:r w:rsidR="00807E3B">
        <w:rPr>
          <w:rFonts w:ascii="Times New Roman" w:hAnsi="Times New Roman" w:cs="Times New Roman"/>
        </w:rPr>
        <w:t>%</w:t>
      </w:r>
      <w:r w:rsidRPr="00FA7F54">
        <w:rPr>
          <w:rFonts w:ascii="Times New Roman" w:hAnsi="Times New Roman" w:cs="Times New Roman"/>
        </w:rPr>
        <w:t xml:space="preserve"> na ukupno 6,</w:t>
      </w:r>
      <w:r w:rsidR="00807E3B">
        <w:rPr>
          <w:rFonts w:ascii="Times New Roman" w:hAnsi="Times New Roman" w:cs="Times New Roman"/>
        </w:rPr>
        <w:t>9</w:t>
      </w:r>
      <w:r w:rsidR="00807E3B" w:rsidRPr="00FA7F54">
        <w:rPr>
          <w:rFonts w:ascii="Times New Roman" w:hAnsi="Times New Roman" w:cs="Times New Roman"/>
        </w:rPr>
        <w:t xml:space="preserve"> </w:t>
      </w:r>
      <w:r w:rsidRPr="00FA7F54">
        <w:rPr>
          <w:rFonts w:ascii="Times New Roman" w:hAnsi="Times New Roman" w:cs="Times New Roman"/>
        </w:rPr>
        <w:t>ml</w:t>
      </w:r>
      <w:r w:rsidR="00161D5F" w:rsidRPr="00FA7F54">
        <w:rPr>
          <w:rFonts w:ascii="Times New Roman" w:hAnsi="Times New Roman" w:cs="Times New Roman"/>
        </w:rPr>
        <w:t>r</w:t>
      </w:r>
      <w:r w:rsidRPr="00FA7F54">
        <w:rPr>
          <w:rFonts w:ascii="Times New Roman" w:hAnsi="Times New Roman" w:cs="Times New Roman"/>
        </w:rPr>
        <w:t>d.</w:t>
      </w:r>
      <w:r w:rsidR="00C043D9" w:rsidRPr="00FA7F54">
        <w:rPr>
          <w:rFonts w:ascii="Times New Roman" w:hAnsi="Times New Roman" w:cs="Times New Roman"/>
        </w:rPr>
        <w:t xml:space="preserve"> </w:t>
      </w:r>
      <w:r w:rsidR="006B0921" w:rsidRPr="00FA7F54">
        <w:rPr>
          <w:rFonts w:ascii="Times New Roman" w:hAnsi="Times New Roman" w:cs="Times New Roman"/>
        </w:rPr>
        <w:t>kuna</w:t>
      </w:r>
      <w:r w:rsidR="00C043D9" w:rsidRPr="00FA7F54">
        <w:rPr>
          <w:rFonts w:ascii="Times New Roman" w:hAnsi="Times New Roman" w:cs="Times New Roman"/>
        </w:rPr>
        <w:t>. U 2015. godini planirano je povećanje materijalnih rashoda za 1,8</w:t>
      </w:r>
      <w:r w:rsidR="00807E3B">
        <w:rPr>
          <w:rFonts w:ascii="Times New Roman" w:hAnsi="Times New Roman" w:cs="Times New Roman"/>
        </w:rPr>
        <w:t>%</w:t>
      </w:r>
      <w:r w:rsidR="00C043D9" w:rsidRPr="00FA7F54">
        <w:rPr>
          <w:rFonts w:ascii="Times New Roman" w:hAnsi="Times New Roman" w:cs="Times New Roman"/>
        </w:rPr>
        <w:t xml:space="preserve"> na gotovo 7 ml</w:t>
      </w:r>
      <w:r w:rsidR="00161D5F" w:rsidRPr="00FA7F54">
        <w:rPr>
          <w:rFonts w:ascii="Times New Roman" w:hAnsi="Times New Roman" w:cs="Times New Roman"/>
        </w:rPr>
        <w:t>r</w:t>
      </w:r>
      <w:r w:rsidR="00C043D9" w:rsidRPr="00FA7F54">
        <w:rPr>
          <w:rFonts w:ascii="Times New Roman" w:hAnsi="Times New Roman" w:cs="Times New Roman"/>
        </w:rPr>
        <w:t>d. kuna.</w:t>
      </w:r>
      <w:r w:rsidR="00352FED" w:rsidRPr="00FA7F54">
        <w:rPr>
          <w:rFonts w:ascii="Times New Roman" w:hAnsi="Times New Roman" w:cs="Times New Roman"/>
        </w:rPr>
        <w:t xml:space="preserve"> </w:t>
      </w:r>
    </w:p>
    <w:p w:rsidR="00D2248F" w:rsidRDefault="00083D06" w:rsidP="00AD314A">
      <w:pPr>
        <w:spacing w:after="0" w:line="240" w:lineRule="auto"/>
        <w:jc w:val="both"/>
        <w:rPr>
          <w:rFonts w:ascii="Times New Roman" w:hAnsi="Times New Roman" w:cs="Times New Roman"/>
        </w:rPr>
      </w:pPr>
      <w:r w:rsidRPr="00FA7F54">
        <w:rPr>
          <w:rFonts w:ascii="Times New Roman" w:hAnsi="Times New Roman" w:cs="Times New Roman"/>
        </w:rPr>
        <w:t>Analizom</w:t>
      </w:r>
      <w:r w:rsidR="00F96B3B" w:rsidRPr="00FA7F54">
        <w:rPr>
          <w:rFonts w:ascii="Times New Roman" w:hAnsi="Times New Roman" w:cs="Times New Roman"/>
        </w:rPr>
        <w:t xml:space="preserve"> </w:t>
      </w:r>
      <w:r w:rsidR="00FC1B30">
        <w:rPr>
          <w:rFonts w:ascii="Times New Roman" w:hAnsi="Times New Roman" w:cs="Times New Roman"/>
        </w:rPr>
        <w:t xml:space="preserve">materijalnih </w:t>
      </w:r>
      <w:r w:rsidR="00F96B3B" w:rsidRPr="00FA7F54">
        <w:rPr>
          <w:rFonts w:ascii="Times New Roman" w:hAnsi="Times New Roman" w:cs="Times New Roman"/>
        </w:rPr>
        <w:t>rashoda</w:t>
      </w:r>
      <w:r w:rsidRPr="00FA7F54">
        <w:rPr>
          <w:rFonts w:ascii="Times New Roman" w:hAnsi="Times New Roman" w:cs="Times New Roman"/>
        </w:rPr>
        <w:t xml:space="preserve"> prema izvorima financiranja n</w:t>
      </w:r>
      <w:r w:rsidR="00352FED" w:rsidRPr="00FA7F54">
        <w:rPr>
          <w:rFonts w:ascii="Times New Roman" w:hAnsi="Times New Roman" w:cs="Times New Roman"/>
        </w:rPr>
        <w:t xml:space="preserve">ajveće </w:t>
      </w:r>
      <w:r w:rsidR="00B617A5" w:rsidRPr="00FA7F54">
        <w:rPr>
          <w:rFonts w:ascii="Times New Roman" w:hAnsi="Times New Roman" w:cs="Times New Roman"/>
        </w:rPr>
        <w:t xml:space="preserve">postotno </w:t>
      </w:r>
      <w:r w:rsidR="00352FED" w:rsidRPr="00FA7F54">
        <w:rPr>
          <w:rFonts w:ascii="Times New Roman" w:hAnsi="Times New Roman" w:cs="Times New Roman"/>
        </w:rPr>
        <w:t xml:space="preserve">povećanje </w:t>
      </w:r>
      <w:r w:rsidR="004B5489" w:rsidRPr="00FA7F54">
        <w:rPr>
          <w:rFonts w:ascii="Times New Roman" w:hAnsi="Times New Roman" w:cs="Times New Roman"/>
        </w:rPr>
        <w:t>u 2015. godini u odnosu na prethodnu godinu</w:t>
      </w:r>
      <w:r w:rsidR="00352FED" w:rsidRPr="00FA7F54">
        <w:rPr>
          <w:rFonts w:ascii="Times New Roman" w:hAnsi="Times New Roman" w:cs="Times New Roman"/>
        </w:rPr>
        <w:t xml:space="preserve"> razvidno je na sredstvima učešća za pomoći (100</w:t>
      </w:r>
      <w:r w:rsidR="00807E3B">
        <w:rPr>
          <w:rFonts w:ascii="Times New Roman" w:hAnsi="Times New Roman" w:cs="Times New Roman"/>
        </w:rPr>
        <w:t>%</w:t>
      </w:r>
      <w:r w:rsidR="00352FED" w:rsidRPr="00FA7F54">
        <w:rPr>
          <w:rFonts w:ascii="Times New Roman" w:hAnsi="Times New Roman" w:cs="Times New Roman"/>
        </w:rPr>
        <w:t>) i namjenskim prim</w:t>
      </w:r>
      <w:r w:rsidR="00B617A5" w:rsidRPr="00FA7F54">
        <w:rPr>
          <w:rFonts w:ascii="Times New Roman" w:hAnsi="Times New Roman" w:cs="Times New Roman"/>
        </w:rPr>
        <w:t>icima</w:t>
      </w:r>
      <w:r w:rsidR="002E6C9A" w:rsidRPr="00FA7F54">
        <w:rPr>
          <w:rFonts w:ascii="Times New Roman" w:hAnsi="Times New Roman" w:cs="Times New Roman"/>
        </w:rPr>
        <w:t xml:space="preserve"> od zaduživanja (84</w:t>
      </w:r>
      <w:r w:rsidR="00807E3B">
        <w:rPr>
          <w:rFonts w:ascii="Times New Roman" w:hAnsi="Times New Roman" w:cs="Times New Roman"/>
        </w:rPr>
        <w:t>%</w:t>
      </w:r>
      <w:r w:rsidR="002E6C9A" w:rsidRPr="00FA7F54">
        <w:rPr>
          <w:rFonts w:ascii="Times New Roman" w:hAnsi="Times New Roman" w:cs="Times New Roman"/>
        </w:rPr>
        <w:t>) dok j</w:t>
      </w:r>
      <w:r w:rsidR="00B617A5" w:rsidRPr="00FA7F54">
        <w:rPr>
          <w:rFonts w:ascii="Times New Roman" w:hAnsi="Times New Roman" w:cs="Times New Roman"/>
        </w:rPr>
        <w:t>e u apsolutnom iznosu najveće povećanje razvidno</w:t>
      </w:r>
      <w:r w:rsidR="002E6C9A" w:rsidRPr="00FA7F54">
        <w:rPr>
          <w:rFonts w:ascii="Times New Roman" w:hAnsi="Times New Roman" w:cs="Times New Roman"/>
        </w:rPr>
        <w:t xml:space="preserve"> na općim prihodima i primicima u visini 76 mil. kuna.</w:t>
      </w:r>
    </w:p>
    <w:p w:rsidR="00902A6C" w:rsidRPr="00FA7F54" w:rsidRDefault="00902A6C" w:rsidP="00AD314A">
      <w:pPr>
        <w:spacing w:after="0" w:line="240" w:lineRule="auto"/>
        <w:jc w:val="both"/>
        <w:rPr>
          <w:rFonts w:ascii="Times New Roman" w:hAnsi="Times New Roman" w:cs="Times New Roman"/>
        </w:rPr>
      </w:pPr>
    </w:p>
    <w:p w:rsidR="00B56DBA" w:rsidRPr="00807E3B" w:rsidRDefault="009835A2" w:rsidP="00843F68">
      <w:pPr>
        <w:pStyle w:val="Opisslike"/>
        <w:spacing w:after="0"/>
        <w:rPr>
          <w:rFonts w:ascii="Times New Roman" w:hAnsi="Times New Roman" w:cs="Times New Roman"/>
          <w:sz w:val="20"/>
          <w:szCs w:val="20"/>
        </w:rPr>
      </w:pPr>
      <w:bookmarkStart w:id="10" w:name="_Toc436402249"/>
      <w:r w:rsidRPr="00807E3B">
        <w:rPr>
          <w:rFonts w:ascii="Times New Roman" w:hAnsi="Times New Roman" w:cs="Times New Roman"/>
          <w:sz w:val="20"/>
          <w:szCs w:val="20"/>
        </w:rPr>
        <w:t xml:space="preserve">Tabela </w:t>
      </w:r>
      <w:r w:rsidR="002D0343" w:rsidRPr="00807E3B">
        <w:rPr>
          <w:rFonts w:ascii="Times New Roman" w:hAnsi="Times New Roman" w:cs="Times New Roman"/>
          <w:sz w:val="20"/>
          <w:szCs w:val="20"/>
        </w:rPr>
        <w:fldChar w:fldCharType="begin"/>
      </w:r>
      <w:r w:rsidRPr="00807E3B">
        <w:rPr>
          <w:rFonts w:ascii="Times New Roman" w:hAnsi="Times New Roman" w:cs="Times New Roman"/>
          <w:sz w:val="20"/>
          <w:szCs w:val="20"/>
        </w:rPr>
        <w:instrText xml:space="preserve"> SEQ Tabela \* ARABIC </w:instrText>
      </w:r>
      <w:r w:rsidR="002D0343" w:rsidRPr="00807E3B">
        <w:rPr>
          <w:rFonts w:ascii="Times New Roman" w:hAnsi="Times New Roman" w:cs="Times New Roman"/>
          <w:sz w:val="20"/>
          <w:szCs w:val="20"/>
        </w:rPr>
        <w:fldChar w:fldCharType="separate"/>
      </w:r>
      <w:r w:rsidR="00F50808">
        <w:rPr>
          <w:rFonts w:ascii="Times New Roman" w:hAnsi="Times New Roman" w:cs="Times New Roman"/>
          <w:noProof/>
          <w:sz w:val="20"/>
          <w:szCs w:val="20"/>
        </w:rPr>
        <w:t>2</w:t>
      </w:r>
      <w:r w:rsidR="002D0343" w:rsidRPr="00807E3B">
        <w:rPr>
          <w:rFonts w:ascii="Times New Roman" w:hAnsi="Times New Roman" w:cs="Times New Roman"/>
          <w:sz w:val="20"/>
          <w:szCs w:val="20"/>
        </w:rPr>
        <w:fldChar w:fldCharType="end"/>
      </w:r>
      <w:r w:rsidRPr="00807E3B">
        <w:rPr>
          <w:rFonts w:ascii="Times New Roman" w:hAnsi="Times New Roman" w:cs="Times New Roman"/>
          <w:sz w:val="20"/>
          <w:szCs w:val="20"/>
        </w:rPr>
        <w:t xml:space="preserve">: </w:t>
      </w:r>
      <w:r w:rsidR="00EF4060" w:rsidRPr="00807E3B">
        <w:rPr>
          <w:rFonts w:ascii="Times New Roman" w:hAnsi="Times New Roman" w:cs="Times New Roman"/>
          <w:sz w:val="20"/>
          <w:szCs w:val="20"/>
        </w:rPr>
        <w:t>Ukupni materijalni rashodi</w:t>
      </w:r>
      <w:r w:rsidR="00BA743D" w:rsidRPr="00807E3B">
        <w:rPr>
          <w:rFonts w:ascii="Times New Roman" w:hAnsi="Times New Roman" w:cs="Times New Roman"/>
          <w:sz w:val="20"/>
          <w:szCs w:val="20"/>
        </w:rPr>
        <w:t xml:space="preserve"> prema podacima iskazanim u državnom proračunu</w:t>
      </w:r>
      <w:r w:rsidR="00EF4060" w:rsidRPr="00807E3B">
        <w:rPr>
          <w:rFonts w:ascii="Times New Roman" w:hAnsi="Times New Roman" w:cs="Times New Roman"/>
          <w:sz w:val="20"/>
          <w:szCs w:val="20"/>
        </w:rPr>
        <w:t xml:space="preserve"> po izvorima – izvršenje za 2013., 2014. i plan za 2015.</w:t>
      </w:r>
      <w:r w:rsidR="00BA743D" w:rsidRPr="00807E3B">
        <w:rPr>
          <w:rFonts w:ascii="Times New Roman" w:hAnsi="Times New Roman" w:cs="Times New Roman"/>
          <w:sz w:val="20"/>
          <w:szCs w:val="20"/>
        </w:rPr>
        <w:t xml:space="preserve"> (u mil.</w:t>
      </w:r>
      <w:r w:rsidR="004F0DCA">
        <w:rPr>
          <w:rFonts w:ascii="Times New Roman" w:hAnsi="Times New Roman" w:cs="Times New Roman"/>
          <w:sz w:val="20"/>
          <w:szCs w:val="20"/>
        </w:rPr>
        <w:t xml:space="preserve"> kuna</w:t>
      </w:r>
      <w:r w:rsidR="00BA743D" w:rsidRPr="00807E3B">
        <w:rPr>
          <w:rFonts w:ascii="Times New Roman" w:hAnsi="Times New Roman" w:cs="Times New Roman"/>
          <w:sz w:val="20"/>
          <w:szCs w:val="20"/>
        </w:rPr>
        <w:t>)</w:t>
      </w:r>
      <w:bookmarkEnd w:id="10"/>
    </w:p>
    <w:tbl>
      <w:tblPr>
        <w:tblW w:w="8924" w:type="dxa"/>
        <w:jc w:val="center"/>
        <w:tblInd w:w="-27" w:type="dxa"/>
        <w:tblLook w:val="04A0" w:firstRow="1" w:lastRow="0" w:firstColumn="1" w:lastColumn="0" w:noHBand="0" w:noVBand="1"/>
      </w:tblPr>
      <w:tblGrid>
        <w:gridCol w:w="1128"/>
        <w:gridCol w:w="3212"/>
        <w:gridCol w:w="928"/>
        <w:gridCol w:w="928"/>
        <w:gridCol w:w="885"/>
        <w:gridCol w:w="1017"/>
        <w:gridCol w:w="915"/>
      </w:tblGrid>
      <w:tr w:rsidR="00344AC8" w:rsidRPr="00FA7F54" w:rsidTr="0061233F">
        <w:trPr>
          <w:trHeight w:val="496"/>
          <w:jc w:val="center"/>
        </w:trPr>
        <w:tc>
          <w:tcPr>
            <w:tcW w:w="1128" w:type="dxa"/>
            <w:tcBorders>
              <w:top w:val="single" w:sz="4" w:space="0" w:color="000080"/>
              <w:left w:val="single" w:sz="4" w:space="0" w:color="000080"/>
              <w:bottom w:val="single" w:sz="4" w:space="0" w:color="000080"/>
              <w:right w:val="single" w:sz="4" w:space="0" w:color="000080"/>
            </w:tcBorders>
            <w:shd w:val="clear" w:color="000000" w:fill="DCE6F1"/>
            <w:noWrap/>
            <w:vAlign w:val="center"/>
            <w:hideMark/>
          </w:tcPr>
          <w:p w:rsidR="00344AC8" w:rsidRPr="00FA7F54" w:rsidRDefault="00344AC8" w:rsidP="00FA7F54">
            <w:pPr>
              <w:spacing w:after="0" w:line="240" w:lineRule="auto"/>
              <w:ind w:firstLineChars="100" w:firstLine="161"/>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 </w:t>
            </w:r>
          </w:p>
        </w:tc>
        <w:tc>
          <w:tcPr>
            <w:tcW w:w="3212" w:type="dxa"/>
            <w:tcBorders>
              <w:top w:val="single" w:sz="4" w:space="0" w:color="000080"/>
              <w:left w:val="nil"/>
              <w:bottom w:val="single" w:sz="4" w:space="0" w:color="000080"/>
              <w:right w:val="single" w:sz="4" w:space="0" w:color="000080"/>
            </w:tcBorders>
            <w:shd w:val="clear" w:color="000000" w:fill="DCE6F1"/>
            <w:noWrap/>
            <w:vAlign w:val="center"/>
            <w:hideMark/>
          </w:tcPr>
          <w:p w:rsidR="00344AC8" w:rsidRPr="00FA7F54" w:rsidRDefault="00344AC8" w:rsidP="00FA7F54">
            <w:pPr>
              <w:spacing w:after="0" w:line="240" w:lineRule="auto"/>
              <w:ind w:firstLineChars="100" w:firstLine="161"/>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 </w:t>
            </w:r>
          </w:p>
        </w:tc>
        <w:tc>
          <w:tcPr>
            <w:tcW w:w="928" w:type="dxa"/>
            <w:tcBorders>
              <w:top w:val="single" w:sz="4" w:space="0" w:color="000080"/>
              <w:left w:val="nil"/>
              <w:bottom w:val="single" w:sz="4" w:space="0" w:color="000080"/>
              <w:right w:val="single" w:sz="4" w:space="0" w:color="000080"/>
            </w:tcBorders>
            <w:shd w:val="clear" w:color="000000" w:fill="DCE6F1"/>
            <w:vAlign w:val="center"/>
            <w:hideMark/>
          </w:tcPr>
          <w:p w:rsidR="00344AC8" w:rsidRPr="00FA7F54" w:rsidRDefault="00344AC8" w:rsidP="004F0DCA">
            <w:pPr>
              <w:spacing w:after="0" w:line="240" w:lineRule="auto"/>
              <w:jc w:val="center"/>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Izvršenje 2013.</w:t>
            </w:r>
          </w:p>
        </w:tc>
        <w:tc>
          <w:tcPr>
            <w:tcW w:w="928" w:type="dxa"/>
            <w:tcBorders>
              <w:top w:val="single" w:sz="4" w:space="0" w:color="000080"/>
              <w:left w:val="nil"/>
              <w:bottom w:val="single" w:sz="4" w:space="0" w:color="000080"/>
              <w:right w:val="single" w:sz="4" w:space="0" w:color="000080"/>
            </w:tcBorders>
            <w:shd w:val="clear" w:color="000000" w:fill="DCE6F1"/>
            <w:vAlign w:val="center"/>
            <w:hideMark/>
          </w:tcPr>
          <w:p w:rsidR="00344AC8" w:rsidRPr="00FA7F54" w:rsidRDefault="00344AC8" w:rsidP="004F0DCA">
            <w:pPr>
              <w:spacing w:after="0" w:line="240" w:lineRule="auto"/>
              <w:jc w:val="center"/>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Izvršenje 2014.</w:t>
            </w:r>
          </w:p>
        </w:tc>
        <w:tc>
          <w:tcPr>
            <w:tcW w:w="885" w:type="dxa"/>
            <w:tcBorders>
              <w:top w:val="single" w:sz="4" w:space="0" w:color="000080"/>
              <w:left w:val="nil"/>
              <w:bottom w:val="single" w:sz="4" w:space="0" w:color="000080"/>
              <w:right w:val="single" w:sz="4" w:space="0" w:color="000080"/>
            </w:tcBorders>
            <w:shd w:val="clear" w:color="000000" w:fill="DCE6F1"/>
            <w:vAlign w:val="center"/>
            <w:hideMark/>
          </w:tcPr>
          <w:p w:rsidR="00344AC8" w:rsidRPr="00FA7F54" w:rsidRDefault="00344AC8" w:rsidP="004F0DCA">
            <w:pPr>
              <w:spacing w:after="0" w:line="240" w:lineRule="auto"/>
              <w:ind w:firstLineChars="100" w:firstLine="161"/>
              <w:jc w:val="center"/>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Indeks</w:t>
            </w:r>
          </w:p>
        </w:tc>
        <w:tc>
          <w:tcPr>
            <w:tcW w:w="928" w:type="dxa"/>
            <w:tcBorders>
              <w:top w:val="single" w:sz="4" w:space="0" w:color="000080"/>
              <w:left w:val="nil"/>
              <w:bottom w:val="single" w:sz="4" w:space="0" w:color="000080"/>
              <w:right w:val="single" w:sz="4" w:space="0" w:color="000080"/>
            </w:tcBorders>
            <w:shd w:val="clear" w:color="000000" w:fill="DCE6F1"/>
            <w:vAlign w:val="center"/>
            <w:hideMark/>
          </w:tcPr>
          <w:p w:rsidR="00344AC8" w:rsidRPr="00FA7F54" w:rsidRDefault="00344AC8" w:rsidP="004F0DCA">
            <w:pPr>
              <w:spacing w:after="0" w:line="240" w:lineRule="auto"/>
              <w:jc w:val="center"/>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Tekući plan</w:t>
            </w:r>
            <w:r w:rsidRPr="00FA7F54">
              <w:rPr>
                <w:rFonts w:ascii="Arial" w:eastAsia="Times New Roman" w:hAnsi="Arial" w:cs="Arial"/>
                <w:b/>
                <w:bCs/>
                <w:sz w:val="16"/>
                <w:szCs w:val="16"/>
                <w:lang w:eastAsia="hr-HR"/>
              </w:rPr>
              <w:br/>
              <w:t>2015.</w:t>
            </w:r>
          </w:p>
        </w:tc>
        <w:tc>
          <w:tcPr>
            <w:tcW w:w="915" w:type="dxa"/>
            <w:tcBorders>
              <w:top w:val="single" w:sz="4" w:space="0" w:color="000080"/>
              <w:left w:val="nil"/>
              <w:bottom w:val="single" w:sz="4" w:space="0" w:color="000080"/>
              <w:right w:val="single" w:sz="4" w:space="0" w:color="000080"/>
            </w:tcBorders>
            <w:shd w:val="clear" w:color="000000" w:fill="DCE6F1"/>
            <w:vAlign w:val="center"/>
            <w:hideMark/>
          </w:tcPr>
          <w:p w:rsidR="00344AC8" w:rsidRPr="00FA7F54" w:rsidRDefault="00344AC8" w:rsidP="004F0DCA">
            <w:pPr>
              <w:spacing w:after="0" w:line="240" w:lineRule="auto"/>
              <w:ind w:firstLineChars="100" w:firstLine="161"/>
              <w:jc w:val="center"/>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Indeks</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000000" w:fill="DCE6F1"/>
            <w:noWrap/>
            <w:vAlign w:val="center"/>
            <w:hideMark/>
          </w:tcPr>
          <w:p w:rsidR="00344AC8" w:rsidRPr="00FA7F54" w:rsidRDefault="00344AC8" w:rsidP="00FA7F54">
            <w:pPr>
              <w:spacing w:after="0" w:line="240" w:lineRule="auto"/>
              <w:ind w:firstLineChars="200" w:firstLine="321"/>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- 32</w:t>
            </w:r>
          </w:p>
        </w:tc>
        <w:tc>
          <w:tcPr>
            <w:tcW w:w="3212" w:type="dxa"/>
            <w:tcBorders>
              <w:top w:val="nil"/>
              <w:left w:val="nil"/>
              <w:bottom w:val="single" w:sz="4" w:space="0" w:color="000080"/>
              <w:right w:val="single" w:sz="4" w:space="0" w:color="000080"/>
            </w:tcBorders>
            <w:shd w:val="clear" w:color="000000" w:fill="DCE6F1"/>
            <w:noWrap/>
            <w:vAlign w:val="center"/>
            <w:hideMark/>
          </w:tcPr>
          <w:p w:rsidR="00344AC8" w:rsidRPr="00FA7F54" w:rsidRDefault="00344AC8" w:rsidP="00FA7F54">
            <w:pPr>
              <w:spacing w:after="0" w:line="240" w:lineRule="auto"/>
              <w:ind w:firstLineChars="100" w:firstLine="161"/>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Materijalni rashodi</w:t>
            </w:r>
          </w:p>
        </w:tc>
        <w:tc>
          <w:tcPr>
            <w:tcW w:w="928" w:type="dxa"/>
            <w:tcBorders>
              <w:top w:val="nil"/>
              <w:left w:val="nil"/>
              <w:bottom w:val="single" w:sz="4" w:space="0" w:color="000080"/>
              <w:right w:val="single" w:sz="4" w:space="0" w:color="000080"/>
            </w:tcBorders>
            <w:shd w:val="clear" w:color="000000" w:fill="DCE6F1"/>
            <w:noWrap/>
            <w:vAlign w:val="center"/>
            <w:hideMark/>
          </w:tcPr>
          <w:p w:rsidR="00344AC8" w:rsidRPr="00FA7F54" w:rsidRDefault="00344AC8" w:rsidP="00344AC8">
            <w:pPr>
              <w:spacing w:after="0" w:line="240" w:lineRule="auto"/>
              <w:jc w:val="right"/>
              <w:rPr>
                <w:rFonts w:ascii="Arial" w:eastAsia="Times New Roman" w:hAnsi="Arial" w:cs="Arial"/>
                <w:b/>
                <w:bCs/>
                <w:color w:val="000000"/>
                <w:sz w:val="16"/>
                <w:szCs w:val="16"/>
                <w:lang w:eastAsia="hr-HR"/>
              </w:rPr>
            </w:pPr>
            <w:r w:rsidRPr="00FA7F54">
              <w:rPr>
                <w:rFonts w:ascii="Arial" w:eastAsia="Times New Roman" w:hAnsi="Arial" w:cs="Arial"/>
                <w:b/>
                <w:bCs/>
                <w:color w:val="000000"/>
                <w:sz w:val="16"/>
                <w:szCs w:val="16"/>
                <w:lang w:eastAsia="hr-HR"/>
              </w:rPr>
              <w:t>8.010,951</w:t>
            </w:r>
          </w:p>
        </w:tc>
        <w:tc>
          <w:tcPr>
            <w:tcW w:w="928" w:type="dxa"/>
            <w:tcBorders>
              <w:top w:val="nil"/>
              <w:left w:val="nil"/>
              <w:bottom w:val="single" w:sz="4" w:space="0" w:color="000080"/>
              <w:right w:val="single" w:sz="4" w:space="0" w:color="000080"/>
            </w:tcBorders>
            <w:shd w:val="clear" w:color="000000" w:fill="DCE6F1"/>
            <w:noWrap/>
            <w:vAlign w:val="center"/>
            <w:hideMark/>
          </w:tcPr>
          <w:p w:rsidR="00344AC8" w:rsidRPr="00FA7F54" w:rsidRDefault="00344AC8" w:rsidP="00344AC8">
            <w:pPr>
              <w:spacing w:after="0" w:line="240" w:lineRule="auto"/>
              <w:jc w:val="right"/>
              <w:rPr>
                <w:rFonts w:ascii="Arial" w:eastAsia="Times New Roman" w:hAnsi="Arial" w:cs="Arial"/>
                <w:b/>
                <w:bCs/>
                <w:color w:val="000000"/>
                <w:sz w:val="16"/>
                <w:szCs w:val="16"/>
                <w:lang w:eastAsia="hr-HR"/>
              </w:rPr>
            </w:pPr>
            <w:r w:rsidRPr="00FA7F54">
              <w:rPr>
                <w:rFonts w:ascii="Arial" w:eastAsia="Times New Roman" w:hAnsi="Arial" w:cs="Arial"/>
                <w:b/>
                <w:bCs/>
                <w:color w:val="000000"/>
                <w:sz w:val="16"/>
                <w:szCs w:val="16"/>
                <w:lang w:eastAsia="hr-HR"/>
              </w:rPr>
              <w:t>7.595,305</w:t>
            </w:r>
          </w:p>
        </w:tc>
        <w:tc>
          <w:tcPr>
            <w:tcW w:w="885" w:type="dxa"/>
            <w:tcBorders>
              <w:top w:val="nil"/>
              <w:left w:val="nil"/>
              <w:bottom w:val="single" w:sz="4" w:space="0" w:color="000080"/>
              <w:right w:val="single" w:sz="4" w:space="0" w:color="000080"/>
            </w:tcBorders>
            <w:shd w:val="clear" w:color="000000" w:fill="DCE6F1"/>
            <w:noWrap/>
            <w:vAlign w:val="center"/>
            <w:hideMark/>
          </w:tcPr>
          <w:p w:rsidR="00344AC8" w:rsidRPr="00FA7F54" w:rsidRDefault="00344AC8" w:rsidP="00344AC8">
            <w:pPr>
              <w:spacing w:after="0" w:line="240" w:lineRule="auto"/>
              <w:jc w:val="right"/>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94,8</w:t>
            </w:r>
          </w:p>
        </w:tc>
        <w:tc>
          <w:tcPr>
            <w:tcW w:w="928" w:type="dxa"/>
            <w:tcBorders>
              <w:top w:val="nil"/>
              <w:left w:val="nil"/>
              <w:bottom w:val="single" w:sz="4" w:space="0" w:color="000080"/>
              <w:right w:val="single" w:sz="4" w:space="0" w:color="000080"/>
            </w:tcBorders>
            <w:shd w:val="clear" w:color="000000" w:fill="DCE6F1"/>
            <w:noWrap/>
            <w:vAlign w:val="center"/>
            <w:hideMark/>
          </w:tcPr>
          <w:p w:rsidR="00344AC8" w:rsidRPr="00FA7F54" w:rsidRDefault="00344AC8" w:rsidP="00344AC8">
            <w:pPr>
              <w:spacing w:after="0" w:line="240" w:lineRule="auto"/>
              <w:jc w:val="right"/>
              <w:rPr>
                <w:rFonts w:ascii="Arial" w:eastAsia="Times New Roman" w:hAnsi="Arial" w:cs="Arial"/>
                <w:b/>
                <w:bCs/>
                <w:color w:val="000000"/>
                <w:sz w:val="16"/>
                <w:szCs w:val="16"/>
                <w:lang w:eastAsia="hr-HR"/>
              </w:rPr>
            </w:pPr>
            <w:r w:rsidRPr="00FA7F54">
              <w:rPr>
                <w:rFonts w:ascii="Arial" w:eastAsia="Times New Roman" w:hAnsi="Arial" w:cs="Arial"/>
                <w:b/>
                <w:bCs/>
                <w:color w:val="000000"/>
                <w:sz w:val="16"/>
                <w:szCs w:val="16"/>
                <w:lang w:eastAsia="hr-HR"/>
              </w:rPr>
              <w:t>10.141,26</w:t>
            </w:r>
            <w:r w:rsidR="007476FE" w:rsidRPr="00FA7F54">
              <w:rPr>
                <w:rFonts w:ascii="Arial" w:eastAsia="Times New Roman" w:hAnsi="Arial" w:cs="Arial"/>
                <w:b/>
                <w:bCs/>
                <w:color w:val="000000"/>
                <w:sz w:val="16"/>
                <w:szCs w:val="16"/>
                <w:lang w:eastAsia="hr-HR"/>
              </w:rPr>
              <w:t>0</w:t>
            </w:r>
          </w:p>
        </w:tc>
        <w:tc>
          <w:tcPr>
            <w:tcW w:w="915" w:type="dxa"/>
            <w:tcBorders>
              <w:top w:val="nil"/>
              <w:left w:val="nil"/>
              <w:bottom w:val="single" w:sz="4" w:space="0" w:color="000080"/>
              <w:right w:val="single" w:sz="4" w:space="0" w:color="000080"/>
            </w:tcBorders>
            <w:shd w:val="clear" w:color="000000" w:fill="DCE6F1"/>
            <w:noWrap/>
            <w:vAlign w:val="center"/>
            <w:hideMark/>
          </w:tcPr>
          <w:p w:rsidR="00344AC8" w:rsidRPr="00FA7F54" w:rsidRDefault="00344AC8" w:rsidP="00344AC8">
            <w:pPr>
              <w:spacing w:after="0" w:line="240" w:lineRule="auto"/>
              <w:jc w:val="right"/>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133,5</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200" w:firstLine="321"/>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- 1+2+8</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1"/>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Materijalni rashodi u limitu</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b/>
                <w:bCs/>
                <w:color w:val="000000"/>
                <w:sz w:val="16"/>
                <w:szCs w:val="16"/>
                <w:lang w:eastAsia="hr-HR"/>
              </w:rPr>
            </w:pPr>
            <w:r w:rsidRPr="00FA7F54">
              <w:rPr>
                <w:rFonts w:ascii="Arial" w:eastAsia="Times New Roman" w:hAnsi="Arial" w:cs="Arial"/>
                <w:b/>
                <w:bCs/>
                <w:color w:val="000000"/>
                <w:sz w:val="16"/>
                <w:szCs w:val="16"/>
                <w:lang w:eastAsia="hr-HR"/>
              </w:rPr>
              <w:t>7.328,285</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b/>
                <w:bCs/>
                <w:color w:val="000000"/>
                <w:sz w:val="16"/>
                <w:szCs w:val="16"/>
                <w:lang w:eastAsia="hr-HR"/>
              </w:rPr>
            </w:pPr>
            <w:r w:rsidRPr="00FA7F54">
              <w:rPr>
                <w:rFonts w:ascii="Arial" w:eastAsia="Times New Roman" w:hAnsi="Arial" w:cs="Arial"/>
                <w:b/>
                <w:bCs/>
                <w:color w:val="000000"/>
                <w:sz w:val="16"/>
                <w:szCs w:val="16"/>
                <w:lang w:eastAsia="hr-HR"/>
              </w:rPr>
              <w:t>6.856,374</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93,6</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b/>
                <w:bCs/>
                <w:color w:val="000000"/>
                <w:sz w:val="16"/>
                <w:szCs w:val="16"/>
                <w:lang w:eastAsia="hr-HR"/>
              </w:rPr>
            </w:pPr>
            <w:r w:rsidRPr="00FA7F54">
              <w:rPr>
                <w:rFonts w:ascii="Arial" w:eastAsia="Times New Roman" w:hAnsi="Arial" w:cs="Arial"/>
                <w:b/>
                <w:bCs/>
                <w:color w:val="000000"/>
                <w:sz w:val="16"/>
                <w:szCs w:val="16"/>
                <w:lang w:eastAsia="hr-HR"/>
              </w:rPr>
              <w:t>6.979,074</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101,8</w:t>
            </w:r>
          </w:p>
        </w:tc>
      </w:tr>
      <w:tr w:rsidR="00344AC8" w:rsidRPr="00FA7F54" w:rsidTr="0061233F">
        <w:trPr>
          <w:trHeight w:val="450"/>
          <w:jc w:val="center"/>
        </w:trPr>
        <w:tc>
          <w:tcPr>
            <w:tcW w:w="1128" w:type="dxa"/>
            <w:tcBorders>
              <w:top w:val="nil"/>
              <w:left w:val="single" w:sz="4" w:space="0" w:color="000080"/>
              <w:bottom w:val="single" w:sz="4" w:space="0" w:color="000080"/>
              <w:right w:val="single" w:sz="4" w:space="0" w:color="000080"/>
            </w:tcBorders>
            <w:shd w:val="clear" w:color="auto" w:fill="auto"/>
            <w:vAlign w:val="center"/>
            <w:hideMark/>
          </w:tcPr>
          <w:p w:rsidR="00344AC8" w:rsidRPr="00FA7F54" w:rsidRDefault="00344AC8" w:rsidP="00FA7F54">
            <w:pPr>
              <w:spacing w:after="0" w:line="240" w:lineRule="auto"/>
              <w:ind w:firstLineChars="200" w:firstLine="321"/>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 ostali izvori</w:t>
            </w:r>
          </w:p>
        </w:tc>
        <w:tc>
          <w:tcPr>
            <w:tcW w:w="3212" w:type="dxa"/>
            <w:tcBorders>
              <w:top w:val="nil"/>
              <w:left w:val="nil"/>
              <w:bottom w:val="single" w:sz="4" w:space="0" w:color="000080"/>
              <w:right w:val="single" w:sz="4" w:space="0" w:color="000080"/>
            </w:tcBorders>
            <w:shd w:val="clear" w:color="auto" w:fill="auto"/>
            <w:vAlign w:val="center"/>
            <w:hideMark/>
          </w:tcPr>
          <w:p w:rsidR="00344AC8" w:rsidRPr="00FA7F54" w:rsidRDefault="00344AC8" w:rsidP="00FA7F54">
            <w:pPr>
              <w:spacing w:after="0" w:line="240" w:lineRule="auto"/>
              <w:ind w:firstLineChars="100" w:firstLine="161"/>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Materijalni rashodi</w:t>
            </w:r>
            <w:r w:rsidR="005458A9" w:rsidRPr="00FA7F54">
              <w:rPr>
                <w:rFonts w:ascii="Arial" w:eastAsia="Times New Roman" w:hAnsi="Arial" w:cs="Arial"/>
                <w:b/>
                <w:bCs/>
                <w:sz w:val="16"/>
                <w:szCs w:val="16"/>
                <w:lang w:eastAsia="hr-HR"/>
              </w:rPr>
              <w:t xml:space="preserve"> financirani</w:t>
            </w:r>
            <w:r w:rsidRPr="00FA7F54">
              <w:rPr>
                <w:rFonts w:ascii="Arial" w:eastAsia="Times New Roman" w:hAnsi="Arial" w:cs="Arial"/>
                <w:b/>
                <w:bCs/>
                <w:sz w:val="16"/>
                <w:szCs w:val="16"/>
                <w:lang w:eastAsia="hr-HR"/>
              </w:rPr>
              <w:t xml:space="preserve"> iz </w:t>
            </w:r>
            <w:r w:rsidR="00285940" w:rsidRPr="00FA7F54">
              <w:rPr>
                <w:rFonts w:ascii="Arial" w:eastAsia="Times New Roman" w:hAnsi="Arial" w:cs="Arial"/>
                <w:b/>
                <w:bCs/>
                <w:sz w:val="16"/>
                <w:szCs w:val="16"/>
                <w:lang w:eastAsia="hr-HR"/>
              </w:rPr>
              <w:t>vlastitih i namjenskih prihoda</w:t>
            </w:r>
            <w:r w:rsidR="00D5458C">
              <w:rPr>
                <w:rFonts w:ascii="Arial" w:eastAsia="Times New Roman" w:hAnsi="Arial" w:cs="Arial"/>
                <w:b/>
                <w:bCs/>
                <w:sz w:val="16"/>
                <w:szCs w:val="16"/>
                <w:lang w:eastAsia="hr-HR"/>
              </w:rPr>
              <w:t xml:space="preserve"> i primitaka</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b/>
                <w:bCs/>
                <w:color w:val="000000"/>
                <w:sz w:val="16"/>
                <w:szCs w:val="16"/>
                <w:lang w:eastAsia="hr-HR"/>
              </w:rPr>
            </w:pPr>
            <w:r w:rsidRPr="00FA7F54">
              <w:rPr>
                <w:rFonts w:ascii="Arial" w:eastAsia="Times New Roman" w:hAnsi="Arial" w:cs="Arial"/>
                <w:b/>
                <w:bCs/>
                <w:color w:val="000000"/>
                <w:sz w:val="16"/>
                <w:szCs w:val="16"/>
                <w:lang w:eastAsia="hr-HR"/>
              </w:rPr>
              <w:t>682,666</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b/>
                <w:bCs/>
                <w:color w:val="000000"/>
                <w:sz w:val="16"/>
                <w:szCs w:val="16"/>
                <w:lang w:eastAsia="hr-HR"/>
              </w:rPr>
            </w:pPr>
            <w:r w:rsidRPr="00FA7F54">
              <w:rPr>
                <w:rFonts w:ascii="Arial" w:eastAsia="Times New Roman" w:hAnsi="Arial" w:cs="Arial"/>
                <w:b/>
                <w:bCs/>
                <w:color w:val="000000"/>
                <w:sz w:val="16"/>
                <w:szCs w:val="16"/>
                <w:lang w:eastAsia="hr-HR"/>
              </w:rPr>
              <w:t>738,931</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108,2</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b/>
                <w:bCs/>
                <w:color w:val="000000"/>
                <w:sz w:val="16"/>
                <w:szCs w:val="16"/>
                <w:lang w:eastAsia="hr-HR"/>
              </w:rPr>
            </w:pPr>
            <w:r w:rsidRPr="00FA7F54">
              <w:rPr>
                <w:rFonts w:ascii="Arial" w:eastAsia="Times New Roman" w:hAnsi="Arial" w:cs="Arial"/>
                <w:b/>
                <w:bCs/>
                <w:color w:val="000000"/>
                <w:sz w:val="16"/>
                <w:szCs w:val="16"/>
                <w:lang w:eastAsia="hr-HR"/>
              </w:rPr>
              <w:t>3.162,186</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427,9</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+ 11</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Opći prihodi i primici</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6.997,498</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6.603,53</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94,4</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6.679,509</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101,2</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+ 12</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Sredstva učešća za pomoći</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101,929</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42,238</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41,4</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84,827</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200,8</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+ 13</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Sredstva učešća za zajmove</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7,244</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6,251</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86,3</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5,486</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87,8</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+ 14</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Prenesen</w:t>
            </w:r>
            <w:r w:rsidR="0023543A">
              <w:rPr>
                <w:rFonts w:ascii="Arial" w:eastAsia="Times New Roman" w:hAnsi="Arial" w:cs="Arial"/>
                <w:sz w:val="16"/>
                <w:szCs w:val="16"/>
                <w:lang w:eastAsia="hr-HR"/>
              </w:rPr>
              <w:t xml:space="preserve">i neutrošeni EU aktivnosti i </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036CA7" w:rsidP="00344AC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00344AC8" w:rsidRPr="00FA7F54">
              <w:rPr>
                <w:rFonts w:ascii="Arial" w:eastAsia="Times New Roman" w:hAnsi="Arial" w:cs="Arial"/>
                <w:color w:val="000000"/>
                <w:sz w:val="16"/>
                <w:szCs w:val="16"/>
                <w:lang w:eastAsia="hr-HR"/>
              </w:rPr>
              <w:t>,006</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1,065</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16.477,1</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 </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0,</w:t>
            </w:r>
            <w:proofErr w:type="spellStart"/>
            <w:r w:rsidRPr="00FA7F54">
              <w:rPr>
                <w:rFonts w:ascii="Arial" w:eastAsia="Times New Roman" w:hAnsi="Arial" w:cs="Arial"/>
                <w:sz w:val="16"/>
                <w:szCs w:val="16"/>
                <w:lang w:eastAsia="hr-HR"/>
              </w:rPr>
              <w:t>0</w:t>
            </w:r>
            <w:proofErr w:type="spellEnd"/>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+ 15</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Proračunska pričuva</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47,324</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32,494</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68,7</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 </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0,</w:t>
            </w:r>
            <w:proofErr w:type="spellStart"/>
            <w:r w:rsidRPr="00FA7F54">
              <w:rPr>
                <w:rFonts w:ascii="Arial" w:eastAsia="Times New Roman" w:hAnsi="Arial" w:cs="Arial"/>
                <w:sz w:val="16"/>
                <w:szCs w:val="16"/>
                <w:lang w:eastAsia="hr-HR"/>
              </w:rPr>
              <w:t>0</w:t>
            </w:r>
            <w:proofErr w:type="spellEnd"/>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+ 21</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Doprinosi za mirovinsko osiguranje</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83,652</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81,039</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96,9</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85,325</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105,3</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+ 22</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Doprinosi za zdravstveno osiguranje</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8,712</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4,246</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48,7</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0,</w:t>
            </w:r>
            <w:proofErr w:type="spellStart"/>
            <w:r w:rsidRPr="00FA7F54">
              <w:rPr>
                <w:rFonts w:ascii="Arial" w:eastAsia="Times New Roman" w:hAnsi="Arial" w:cs="Arial"/>
                <w:sz w:val="16"/>
                <w:szCs w:val="16"/>
                <w:lang w:eastAsia="hr-HR"/>
              </w:rPr>
              <w:t>0</w:t>
            </w:r>
            <w:proofErr w:type="spellEnd"/>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+ 23</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Doprinosi za zapošljavanje</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44,155</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42,058</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95,2</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43,622</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103,7</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+ 31</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Vlastiti prihodi</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53,469</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63,128</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118,1</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503,34</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797,3</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+ 41</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Prihodi od igara na sreću</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2,201</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,307</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14,0</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1,182</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384,8</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+ 43</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Ostali prihodi za posebne namjene</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334,155</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349,003</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104,4</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2.016,13</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577,7</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+ 51</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Pomoći EU</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213,471</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141,554</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66,3</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194,533</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137,4</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+ 52</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Ostale pomoći</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33,153</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73,503</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221,7</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65,512</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89,1</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+ 53</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Inozemne darovnice</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5,546</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7,545</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136,0</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17,829</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236,3</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+ 54</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Pomoći proračunskim korisnicima temeljem</w:t>
            </w:r>
            <w:r w:rsidR="00191471">
              <w:rPr>
                <w:rFonts w:ascii="Arial" w:eastAsia="Times New Roman" w:hAnsi="Arial" w:cs="Arial"/>
                <w:sz w:val="16"/>
                <w:szCs w:val="16"/>
                <w:lang w:eastAsia="hr-HR"/>
              </w:rPr>
              <w:t xml:space="preserve"> prijenosa sredstava EU</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1,987</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1,599</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80,5</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 </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+ 55</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Refundacije iz pomoći EU</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F91413" w:rsidP="00344AC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00344AC8" w:rsidRPr="00FA7F54">
              <w:rPr>
                <w:rFonts w:ascii="Arial" w:eastAsia="Times New Roman" w:hAnsi="Arial" w:cs="Arial"/>
                <w:color w:val="000000"/>
                <w:sz w:val="16"/>
                <w:szCs w:val="16"/>
                <w:lang w:eastAsia="hr-HR"/>
              </w:rPr>
              <w:t>,777</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 </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036CA7">
            <w:pPr>
              <w:spacing w:after="0" w:line="240" w:lineRule="auto"/>
              <w:jc w:val="center"/>
              <w:rPr>
                <w:rFonts w:ascii="Arial" w:eastAsia="Times New Roman" w:hAnsi="Arial" w:cs="Arial"/>
                <w:sz w:val="16"/>
                <w:szCs w:val="16"/>
                <w:lang w:eastAsia="hr-HR"/>
              </w:rPr>
            </w:pP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rPr>
                <w:rFonts w:ascii="Arial" w:eastAsia="Times New Roman" w:hAnsi="Arial" w:cs="Arial"/>
                <w:sz w:val="16"/>
                <w:szCs w:val="16"/>
                <w:lang w:eastAsia="hr-HR"/>
              </w:rPr>
            </w:pPr>
            <w:r w:rsidRPr="00FA7F54">
              <w:rPr>
                <w:rFonts w:ascii="Arial" w:eastAsia="Times New Roman" w:hAnsi="Arial" w:cs="Arial"/>
                <w:sz w:val="16"/>
                <w:szCs w:val="16"/>
                <w:lang w:eastAsia="hr-HR"/>
              </w:rPr>
              <w:t> </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+ 559</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Ostale refundacije iz sredstava EU</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 </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12,686</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rPr>
                <w:rFonts w:ascii="Arial" w:eastAsia="Times New Roman" w:hAnsi="Arial" w:cs="Arial"/>
                <w:sz w:val="16"/>
                <w:szCs w:val="16"/>
                <w:lang w:eastAsia="hr-HR"/>
              </w:rPr>
            </w:pPr>
            <w:r w:rsidRPr="00FA7F54">
              <w:rPr>
                <w:rFonts w:ascii="Arial" w:eastAsia="Times New Roman" w:hAnsi="Arial" w:cs="Arial"/>
                <w:sz w:val="16"/>
                <w:szCs w:val="16"/>
                <w:lang w:eastAsia="hr-HR"/>
              </w:rPr>
              <w:t> </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21,337</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168,2</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+ 561</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Europski socijalni fond (ESF)</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2,718</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21,341</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785,0</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67,048</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314,2</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+ 562</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Kohezijski fond (CF)</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1,668</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1,795</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107,6</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9,839</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548,1</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+ 563</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Europski fond za regionalni razvoj (ERDF</w:t>
            </w:r>
            <w:r w:rsidR="00191471">
              <w:rPr>
                <w:rFonts w:ascii="Arial" w:eastAsia="Times New Roman" w:hAnsi="Arial" w:cs="Arial"/>
                <w:sz w:val="16"/>
                <w:szCs w:val="16"/>
                <w:lang w:eastAsia="hr-HR"/>
              </w:rPr>
              <w:t>)</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17,171</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45,961</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267,7</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191,285</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416,2</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+ 564</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Ribarski fondovi (EMFF i EFF)</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 </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 </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rPr>
                <w:rFonts w:ascii="Arial" w:eastAsia="Times New Roman" w:hAnsi="Arial" w:cs="Arial"/>
                <w:sz w:val="16"/>
                <w:szCs w:val="16"/>
                <w:lang w:eastAsia="hr-HR"/>
              </w:rPr>
            </w:pPr>
            <w:r w:rsidRPr="00FA7F54">
              <w:rPr>
                <w:rFonts w:ascii="Arial" w:eastAsia="Times New Roman" w:hAnsi="Arial" w:cs="Arial"/>
                <w:sz w:val="16"/>
                <w:szCs w:val="16"/>
                <w:lang w:eastAsia="hr-HR"/>
              </w:rPr>
              <w:t> </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27,132</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rPr>
                <w:rFonts w:ascii="Arial" w:eastAsia="Times New Roman" w:hAnsi="Arial" w:cs="Arial"/>
                <w:sz w:val="16"/>
                <w:szCs w:val="16"/>
                <w:lang w:eastAsia="hr-HR"/>
              </w:rPr>
            </w:pPr>
            <w:r w:rsidRPr="00FA7F54">
              <w:rPr>
                <w:rFonts w:ascii="Arial" w:eastAsia="Times New Roman" w:hAnsi="Arial" w:cs="Arial"/>
                <w:sz w:val="16"/>
                <w:szCs w:val="16"/>
                <w:lang w:eastAsia="hr-HR"/>
              </w:rPr>
              <w:t> </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+ 565</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Europski poljoprivredni fond za ruralni</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 </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 </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rPr>
                <w:rFonts w:ascii="Arial" w:eastAsia="Times New Roman" w:hAnsi="Arial" w:cs="Arial"/>
                <w:sz w:val="16"/>
                <w:szCs w:val="16"/>
                <w:lang w:eastAsia="hr-HR"/>
              </w:rPr>
            </w:pPr>
            <w:r w:rsidRPr="00FA7F54">
              <w:rPr>
                <w:rFonts w:ascii="Arial" w:eastAsia="Times New Roman" w:hAnsi="Arial" w:cs="Arial"/>
                <w:sz w:val="16"/>
                <w:szCs w:val="16"/>
                <w:lang w:eastAsia="hr-HR"/>
              </w:rPr>
              <w:t> </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12,492</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rPr>
                <w:rFonts w:ascii="Arial" w:eastAsia="Times New Roman" w:hAnsi="Arial" w:cs="Arial"/>
                <w:sz w:val="16"/>
                <w:szCs w:val="16"/>
                <w:lang w:eastAsia="hr-HR"/>
              </w:rPr>
            </w:pPr>
            <w:r w:rsidRPr="00FA7F54">
              <w:rPr>
                <w:rFonts w:ascii="Arial" w:eastAsia="Times New Roman" w:hAnsi="Arial" w:cs="Arial"/>
                <w:sz w:val="16"/>
                <w:szCs w:val="16"/>
                <w:lang w:eastAsia="hr-HR"/>
              </w:rPr>
              <w:t> </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+ 571</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Program Schengen</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 </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1,618</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rPr>
                <w:rFonts w:ascii="Arial" w:eastAsia="Times New Roman" w:hAnsi="Arial" w:cs="Arial"/>
                <w:sz w:val="16"/>
                <w:szCs w:val="16"/>
                <w:lang w:eastAsia="hr-HR"/>
              </w:rPr>
            </w:pPr>
            <w:r w:rsidRPr="00FA7F54">
              <w:rPr>
                <w:rFonts w:ascii="Arial" w:eastAsia="Times New Roman" w:hAnsi="Arial" w:cs="Arial"/>
                <w:sz w:val="16"/>
                <w:szCs w:val="16"/>
                <w:lang w:eastAsia="hr-HR"/>
              </w:rPr>
              <w:t> </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5,6</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346,2</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+ 572</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Fondovi za izbjeglice i povratak</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 </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036CA7" w:rsidP="00344AC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00344AC8" w:rsidRPr="00FA7F54">
              <w:rPr>
                <w:rFonts w:ascii="Arial" w:eastAsia="Times New Roman" w:hAnsi="Arial" w:cs="Arial"/>
                <w:color w:val="000000"/>
                <w:sz w:val="16"/>
                <w:szCs w:val="16"/>
                <w:lang w:eastAsia="hr-HR"/>
              </w:rPr>
              <w:t>,644</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rPr>
                <w:rFonts w:ascii="Arial" w:eastAsia="Times New Roman" w:hAnsi="Arial" w:cs="Arial"/>
                <w:sz w:val="16"/>
                <w:szCs w:val="16"/>
                <w:lang w:eastAsia="hr-HR"/>
              </w:rPr>
            </w:pPr>
            <w:r w:rsidRPr="00FA7F54">
              <w:rPr>
                <w:rFonts w:ascii="Arial" w:eastAsia="Times New Roman" w:hAnsi="Arial" w:cs="Arial"/>
                <w:sz w:val="16"/>
                <w:szCs w:val="16"/>
                <w:lang w:eastAsia="hr-HR"/>
              </w:rPr>
              <w:t> </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9,034</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1.403,1</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+ 573</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Instrumenti e</w:t>
            </w:r>
            <w:r w:rsidR="00161D5F" w:rsidRPr="00FA7F54">
              <w:rPr>
                <w:rFonts w:ascii="Arial" w:eastAsia="Times New Roman" w:hAnsi="Arial" w:cs="Arial"/>
                <w:sz w:val="16"/>
                <w:szCs w:val="16"/>
                <w:lang w:eastAsia="hr-HR"/>
              </w:rPr>
              <w:t>u</w:t>
            </w:r>
            <w:r w:rsidRPr="00FA7F54">
              <w:rPr>
                <w:rFonts w:ascii="Arial" w:eastAsia="Times New Roman" w:hAnsi="Arial" w:cs="Arial"/>
                <w:sz w:val="16"/>
                <w:szCs w:val="16"/>
                <w:lang w:eastAsia="hr-HR"/>
              </w:rPr>
              <w:t>ropskog gospodarskog prosto</w:t>
            </w:r>
            <w:r w:rsidR="00161D5F" w:rsidRPr="00FA7F54">
              <w:rPr>
                <w:rFonts w:ascii="Arial" w:eastAsia="Times New Roman" w:hAnsi="Arial" w:cs="Arial"/>
                <w:sz w:val="16"/>
                <w:szCs w:val="16"/>
                <w:lang w:eastAsia="hr-HR"/>
              </w:rPr>
              <w:t>ra</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 </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1,515</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rPr>
                <w:rFonts w:ascii="Arial" w:eastAsia="Times New Roman" w:hAnsi="Arial" w:cs="Arial"/>
                <w:sz w:val="16"/>
                <w:szCs w:val="16"/>
                <w:lang w:eastAsia="hr-HR"/>
              </w:rPr>
            </w:pPr>
            <w:r w:rsidRPr="00FA7F54">
              <w:rPr>
                <w:rFonts w:ascii="Arial" w:eastAsia="Times New Roman" w:hAnsi="Arial" w:cs="Arial"/>
                <w:sz w:val="16"/>
                <w:szCs w:val="16"/>
                <w:lang w:eastAsia="hr-HR"/>
              </w:rPr>
              <w:t> </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12,855</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848,7</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+ 61</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Donacije</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15,547</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15,567</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100,1</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6,189</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39,8</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+ 63</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Inozemne donacije</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036CA7" w:rsidP="00344AC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00344AC8" w:rsidRPr="00FA7F54">
              <w:rPr>
                <w:rFonts w:ascii="Arial" w:eastAsia="Times New Roman" w:hAnsi="Arial" w:cs="Arial"/>
                <w:color w:val="000000"/>
                <w:sz w:val="16"/>
                <w:szCs w:val="16"/>
                <w:lang w:eastAsia="hr-HR"/>
              </w:rPr>
              <w:t>,802</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1,165</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145,2</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036CA7" w:rsidP="00344AC8">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00344AC8" w:rsidRPr="00FA7F54">
              <w:rPr>
                <w:rFonts w:ascii="Arial" w:eastAsia="Times New Roman" w:hAnsi="Arial" w:cs="Arial"/>
                <w:color w:val="000000"/>
                <w:sz w:val="16"/>
                <w:szCs w:val="16"/>
                <w:lang w:eastAsia="hr-HR"/>
              </w:rPr>
              <w:t>,848</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72,8</w:t>
            </w:r>
          </w:p>
        </w:tc>
      </w:tr>
      <w:tr w:rsidR="00344AC8" w:rsidRPr="00FA7F54" w:rsidTr="0061233F">
        <w:trPr>
          <w:trHeight w:val="30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300" w:firstLine="480"/>
              <w:rPr>
                <w:rFonts w:ascii="Arial" w:eastAsia="Times New Roman" w:hAnsi="Arial" w:cs="Arial"/>
                <w:sz w:val="16"/>
                <w:szCs w:val="16"/>
                <w:lang w:eastAsia="hr-HR"/>
              </w:rPr>
            </w:pPr>
            <w:r w:rsidRPr="00FA7F54">
              <w:rPr>
                <w:rFonts w:ascii="Arial" w:eastAsia="Times New Roman" w:hAnsi="Arial" w:cs="Arial"/>
                <w:sz w:val="16"/>
                <w:szCs w:val="16"/>
                <w:lang w:eastAsia="hr-HR"/>
              </w:rPr>
              <w:t>+ 83</w:t>
            </w:r>
          </w:p>
        </w:tc>
        <w:tc>
          <w:tcPr>
            <w:tcW w:w="3212"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 xml:space="preserve">Namjenski primici od </w:t>
            </w:r>
            <w:proofErr w:type="spellStart"/>
            <w:r w:rsidRPr="00FA7F54">
              <w:rPr>
                <w:rFonts w:ascii="Arial" w:eastAsia="Times New Roman" w:hAnsi="Arial" w:cs="Arial"/>
                <w:sz w:val="16"/>
                <w:szCs w:val="16"/>
                <w:lang w:eastAsia="hr-HR"/>
              </w:rPr>
              <w:t>inozem</w:t>
            </w:r>
            <w:proofErr w:type="spellEnd"/>
            <w:r w:rsidRPr="00FA7F54">
              <w:rPr>
                <w:rFonts w:ascii="Arial" w:eastAsia="Times New Roman" w:hAnsi="Arial" w:cs="Arial"/>
                <w:sz w:val="16"/>
                <w:szCs w:val="16"/>
                <w:lang w:eastAsia="hr-HR"/>
              </w:rPr>
              <w:t>. zaduživanja</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37,764</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43,455</w:t>
            </w:r>
          </w:p>
        </w:tc>
        <w:tc>
          <w:tcPr>
            <w:tcW w:w="88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115,1</w:t>
            </w:r>
          </w:p>
        </w:tc>
        <w:tc>
          <w:tcPr>
            <w:tcW w:w="928"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80,305</w:t>
            </w:r>
          </w:p>
        </w:tc>
        <w:tc>
          <w:tcPr>
            <w:tcW w:w="915" w:type="dxa"/>
            <w:tcBorders>
              <w:top w:val="nil"/>
              <w:left w:val="nil"/>
              <w:bottom w:val="single" w:sz="4" w:space="0" w:color="000080"/>
              <w:right w:val="single" w:sz="4" w:space="0" w:color="000080"/>
            </w:tcBorders>
            <w:shd w:val="clear" w:color="auto" w:fill="auto"/>
            <w:noWrap/>
            <w:vAlign w:val="center"/>
            <w:hideMark/>
          </w:tcPr>
          <w:p w:rsidR="00344AC8" w:rsidRPr="00FA7F54" w:rsidRDefault="00344AC8" w:rsidP="00344AC8">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184,8</w:t>
            </w:r>
          </w:p>
        </w:tc>
      </w:tr>
    </w:tbl>
    <w:p w:rsidR="00E81C74" w:rsidRPr="00E85FA6" w:rsidRDefault="00F20ABD" w:rsidP="00B64571">
      <w:pPr>
        <w:spacing w:line="240" w:lineRule="auto"/>
        <w:jc w:val="both"/>
        <w:rPr>
          <w:rFonts w:ascii="Times New Roman" w:hAnsi="Times New Roman" w:cs="Times New Roman"/>
        </w:rPr>
      </w:pPr>
      <w:r w:rsidRPr="00E85FA6">
        <w:rPr>
          <w:rFonts w:ascii="Times New Roman" w:hAnsi="Times New Roman" w:cs="Times New Roman"/>
        </w:rPr>
        <w:lastRenderedPageBreak/>
        <w:t xml:space="preserve">U ukupnim materijalnim rashodima najveći udio čine rashodi za usluge </w:t>
      </w:r>
      <w:r w:rsidR="00FF32D9" w:rsidRPr="00E85FA6">
        <w:rPr>
          <w:rFonts w:ascii="Times New Roman" w:hAnsi="Times New Roman" w:cs="Times New Roman"/>
        </w:rPr>
        <w:t>(</w:t>
      </w:r>
      <w:r w:rsidRPr="00E85FA6">
        <w:rPr>
          <w:rFonts w:ascii="Times New Roman" w:hAnsi="Times New Roman" w:cs="Times New Roman"/>
        </w:rPr>
        <w:t>54</w:t>
      </w:r>
      <w:r w:rsidR="005564A9">
        <w:rPr>
          <w:rFonts w:ascii="Times New Roman" w:hAnsi="Times New Roman" w:cs="Times New Roman"/>
        </w:rPr>
        <w:t>%</w:t>
      </w:r>
      <w:r w:rsidRPr="00E85FA6">
        <w:rPr>
          <w:rFonts w:ascii="Times New Roman" w:hAnsi="Times New Roman" w:cs="Times New Roman"/>
        </w:rPr>
        <w:t xml:space="preserve"> u 2015. </w:t>
      </w:r>
      <w:r w:rsidR="00161D5F" w:rsidRPr="00E85FA6">
        <w:rPr>
          <w:rFonts w:ascii="Times New Roman" w:hAnsi="Times New Roman" w:cs="Times New Roman"/>
        </w:rPr>
        <w:t xml:space="preserve">i </w:t>
      </w:r>
      <w:r w:rsidRPr="00E85FA6">
        <w:rPr>
          <w:rFonts w:ascii="Times New Roman" w:hAnsi="Times New Roman" w:cs="Times New Roman"/>
        </w:rPr>
        <w:t>58</w:t>
      </w:r>
      <w:r w:rsidR="005564A9">
        <w:rPr>
          <w:rFonts w:ascii="Times New Roman" w:hAnsi="Times New Roman" w:cs="Times New Roman"/>
        </w:rPr>
        <w:t>%</w:t>
      </w:r>
      <w:r w:rsidRPr="00E85FA6">
        <w:rPr>
          <w:rFonts w:ascii="Times New Roman" w:hAnsi="Times New Roman" w:cs="Times New Roman"/>
        </w:rPr>
        <w:t xml:space="preserve"> u 2014. godini</w:t>
      </w:r>
      <w:r w:rsidR="00FF32D9" w:rsidRPr="00E85FA6">
        <w:rPr>
          <w:rFonts w:ascii="Times New Roman" w:hAnsi="Times New Roman" w:cs="Times New Roman"/>
        </w:rPr>
        <w:t>) i</w:t>
      </w:r>
      <w:r w:rsidRPr="00E85FA6">
        <w:rPr>
          <w:rFonts w:ascii="Times New Roman" w:hAnsi="Times New Roman" w:cs="Times New Roman"/>
        </w:rPr>
        <w:t xml:space="preserve"> rashodi za materijal i energiju </w:t>
      </w:r>
      <w:r w:rsidR="00FF32D9" w:rsidRPr="00E85FA6">
        <w:rPr>
          <w:rFonts w:ascii="Times New Roman" w:hAnsi="Times New Roman" w:cs="Times New Roman"/>
        </w:rPr>
        <w:t>(</w:t>
      </w:r>
      <w:r w:rsidRPr="00E85FA6">
        <w:rPr>
          <w:rFonts w:ascii="Times New Roman" w:hAnsi="Times New Roman" w:cs="Times New Roman"/>
        </w:rPr>
        <w:t>22</w:t>
      </w:r>
      <w:r w:rsidR="005564A9">
        <w:rPr>
          <w:rFonts w:ascii="Times New Roman" w:hAnsi="Times New Roman" w:cs="Times New Roman"/>
        </w:rPr>
        <w:t>%</w:t>
      </w:r>
      <w:r w:rsidRPr="00E85FA6">
        <w:rPr>
          <w:rFonts w:ascii="Times New Roman" w:hAnsi="Times New Roman" w:cs="Times New Roman"/>
        </w:rPr>
        <w:t xml:space="preserve"> u 2014. </w:t>
      </w:r>
      <w:r w:rsidR="00161D5F" w:rsidRPr="00E85FA6">
        <w:rPr>
          <w:rFonts w:ascii="Times New Roman" w:hAnsi="Times New Roman" w:cs="Times New Roman"/>
        </w:rPr>
        <w:t xml:space="preserve">i </w:t>
      </w:r>
      <w:r w:rsidRPr="00E85FA6">
        <w:rPr>
          <w:rFonts w:ascii="Times New Roman" w:hAnsi="Times New Roman" w:cs="Times New Roman"/>
        </w:rPr>
        <w:t>25</w:t>
      </w:r>
      <w:r w:rsidR="005564A9">
        <w:rPr>
          <w:rFonts w:ascii="Times New Roman" w:hAnsi="Times New Roman" w:cs="Times New Roman"/>
        </w:rPr>
        <w:t>%</w:t>
      </w:r>
      <w:r w:rsidRPr="00E85FA6">
        <w:rPr>
          <w:rFonts w:ascii="Times New Roman" w:hAnsi="Times New Roman" w:cs="Times New Roman"/>
        </w:rPr>
        <w:t xml:space="preserve"> u 2015. godini</w:t>
      </w:r>
      <w:r w:rsidR="00FF32D9" w:rsidRPr="00E85FA6">
        <w:rPr>
          <w:rFonts w:ascii="Times New Roman" w:hAnsi="Times New Roman" w:cs="Times New Roman"/>
        </w:rPr>
        <w:t>)</w:t>
      </w:r>
      <w:r w:rsidRPr="00E85FA6">
        <w:rPr>
          <w:rFonts w:ascii="Times New Roman" w:hAnsi="Times New Roman" w:cs="Times New Roman"/>
        </w:rPr>
        <w:t xml:space="preserve">. </w:t>
      </w:r>
      <w:r w:rsidR="00FB2285" w:rsidRPr="00E85FA6">
        <w:rPr>
          <w:rFonts w:ascii="Times New Roman" w:hAnsi="Times New Roman" w:cs="Times New Roman"/>
        </w:rPr>
        <w:t>Udio naknada</w:t>
      </w:r>
      <w:r w:rsidRPr="00E85FA6">
        <w:rPr>
          <w:rFonts w:ascii="Times New Roman" w:hAnsi="Times New Roman" w:cs="Times New Roman"/>
        </w:rPr>
        <w:t xml:space="preserve"> troškova zaposlenima </w:t>
      </w:r>
      <w:r w:rsidR="00FB2285" w:rsidRPr="00E85FA6">
        <w:rPr>
          <w:rFonts w:ascii="Times New Roman" w:hAnsi="Times New Roman" w:cs="Times New Roman"/>
        </w:rPr>
        <w:t xml:space="preserve">smanjen je </w:t>
      </w:r>
      <w:r w:rsidR="00161D5F" w:rsidRPr="00E85FA6">
        <w:rPr>
          <w:rFonts w:ascii="Times New Roman" w:hAnsi="Times New Roman" w:cs="Times New Roman"/>
        </w:rPr>
        <w:t>sa</w:t>
      </w:r>
      <w:r w:rsidR="00FB2285" w:rsidRPr="00E85FA6">
        <w:rPr>
          <w:rFonts w:ascii="Times New Roman" w:hAnsi="Times New Roman" w:cs="Times New Roman"/>
        </w:rPr>
        <w:t xml:space="preserve"> 13</w:t>
      </w:r>
      <w:r w:rsidR="005564A9">
        <w:rPr>
          <w:rFonts w:ascii="Times New Roman" w:hAnsi="Times New Roman" w:cs="Times New Roman"/>
        </w:rPr>
        <w:t>%</w:t>
      </w:r>
      <w:r w:rsidR="00FB2285" w:rsidRPr="00E85FA6">
        <w:rPr>
          <w:rFonts w:ascii="Times New Roman" w:hAnsi="Times New Roman" w:cs="Times New Roman"/>
        </w:rPr>
        <w:t xml:space="preserve"> u 2013. godini na 11</w:t>
      </w:r>
      <w:r w:rsidR="005564A9">
        <w:rPr>
          <w:rFonts w:ascii="Times New Roman" w:hAnsi="Times New Roman" w:cs="Times New Roman"/>
        </w:rPr>
        <w:t>%</w:t>
      </w:r>
      <w:r w:rsidR="00FB2285" w:rsidRPr="00E85FA6">
        <w:rPr>
          <w:rFonts w:ascii="Times New Roman" w:hAnsi="Times New Roman" w:cs="Times New Roman"/>
        </w:rPr>
        <w:t xml:space="preserve"> u 2015. godini</w:t>
      </w:r>
      <w:r w:rsidR="00161D5F" w:rsidRPr="00E85FA6">
        <w:rPr>
          <w:rFonts w:ascii="Times New Roman" w:hAnsi="Times New Roman" w:cs="Times New Roman"/>
        </w:rPr>
        <w:t>,</w:t>
      </w:r>
      <w:r w:rsidR="00FB2285" w:rsidRPr="00E85FA6">
        <w:rPr>
          <w:rFonts w:ascii="Times New Roman" w:hAnsi="Times New Roman" w:cs="Times New Roman"/>
        </w:rPr>
        <w:t xml:space="preserve"> dok ostali nespomenuti rashodi rastu sa 7</w:t>
      </w:r>
      <w:r w:rsidR="005564A9">
        <w:rPr>
          <w:rFonts w:ascii="Times New Roman" w:hAnsi="Times New Roman" w:cs="Times New Roman"/>
        </w:rPr>
        <w:t>%</w:t>
      </w:r>
      <w:r w:rsidR="00FB2285" w:rsidRPr="00E85FA6">
        <w:rPr>
          <w:rFonts w:ascii="Times New Roman" w:hAnsi="Times New Roman" w:cs="Times New Roman"/>
        </w:rPr>
        <w:t xml:space="preserve"> u 2013. na 9</w:t>
      </w:r>
      <w:r w:rsidR="005564A9">
        <w:rPr>
          <w:rFonts w:ascii="Times New Roman" w:hAnsi="Times New Roman" w:cs="Times New Roman"/>
        </w:rPr>
        <w:t>%</w:t>
      </w:r>
      <w:r w:rsidR="00FB2285" w:rsidRPr="00E85FA6">
        <w:rPr>
          <w:rFonts w:ascii="Times New Roman" w:hAnsi="Times New Roman" w:cs="Times New Roman"/>
        </w:rPr>
        <w:t xml:space="preserve"> u 2015. godini.</w:t>
      </w:r>
    </w:p>
    <w:p w:rsidR="009835A2" w:rsidRPr="005564A9" w:rsidRDefault="009835A2" w:rsidP="005564A9">
      <w:pPr>
        <w:pStyle w:val="Opisslike"/>
        <w:spacing w:after="0"/>
        <w:jc w:val="both"/>
        <w:rPr>
          <w:rFonts w:ascii="Times New Roman" w:hAnsi="Times New Roman" w:cs="Times New Roman"/>
          <w:sz w:val="20"/>
          <w:szCs w:val="20"/>
        </w:rPr>
      </w:pPr>
      <w:bookmarkStart w:id="11" w:name="_Toc436402250"/>
      <w:r w:rsidRPr="005564A9">
        <w:rPr>
          <w:rFonts w:ascii="Times New Roman" w:hAnsi="Times New Roman" w:cs="Times New Roman"/>
          <w:sz w:val="20"/>
          <w:szCs w:val="20"/>
        </w:rPr>
        <w:t xml:space="preserve">Tabela </w:t>
      </w:r>
      <w:r w:rsidR="002D0343" w:rsidRPr="005564A9">
        <w:rPr>
          <w:rFonts w:ascii="Times New Roman" w:hAnsi="Times New Roman" w:cs="Times New Roman"/>
          <w:sz w:val="20"/>
          <w:szCs w:val="20"/>
        </w:rPr>
        <w:fldChar w:fldCharType="begin"/>
      </w:r>
      <w:r w:rsidRPr="005564A9">
        <w:rPr>
          <w:rFonts w:ascii="Times New Roman" w:hAnsi="Times New Roman" w:cs="Times New Roman"/>
          <w:sz w:val="20"/>
          <w:szCs w:val="20"/>
        </w:rPr>
        <w:instrText xml:space="preserve"> SEQ Tabela \* ARABIC </w:instrText>
      </w:r>
      <w:r w:rsidR="002D0343" w:rsidRPr="005564A9">
        <w:rPr>
          <w:rFonts w:ascii="Times New Roman" w:hAnsi="Times New Roman" w:cs="Times New Roman"/>
          <w:sz w:val="20"/>
          <w:szCs w:val="20"/>
        </w:rPr>
        <w:fldChar w:fldCharType="separate"/>
      </w:r>
      <w:r w:rsidR="00F50808">
        <w:rPr>
          <w:rFonts w:ascii="Times New Roman" w:hAnsi="Times New Roman" w:cs="Times New Roman"/>
          <w:noProof/>
          <w:sz w:val="20"/>
          <w:szCs w:val="20"/>
        </w:rPr>
        <w:t>3</w:t>
      </w:r>
      <w:r w:rsidR="002D0343" w:rsidRPr="005564A9">
        <w:rPr>
          <w:rFonts w:ascii="Times New Roman" w:hAnsi="Times New Roman" w:cs="Times New Roman"/>
          <w:sz w:val="20"/>
          <w:szCs w:val="20"/>
        </w:rPr>
        <w:fldChar w:fldCharType="end"/>
      </w:r>
      <w:r w:rsidRPr="005564A9">
        <w:rPr>
          <w:rFonts w:ascii="Times New Roman" w:hAnsi="Times New Roman" w:cs="Times New Roman"/>
          <w:sz w:val="20"/>
          <w:szCs w:val="20"/>
        </w:rPr>
        <w:t xml:space="preserve">: </w:t>
      </w:r>
      <w:r w:rsidR="00BA743D" w:rsidRPr="005564A9">
        <w:rPr>
          <w:rFonts w:ascii="Times New Roman" w:hAnsi="Times New Roman" w:cs="Times New Roman"/>
          <w:sz w:val="20"/>
          <w:szCs w:val="20"/>
        </w:rPr>
        <w:t>Ukupni materijalni rashodi prema podacima iskazanim u državnom proračunu po računima – izvršenje za 2013., 2014. i plan za 2015. (u mil.</w:t>
      </w:r>
      <w:r w:rsidR="00EB7772">
        <w:rPr>
          <w:rFonts w:ascii="Times New Roman" w:hAnsi="Times New Roman" w:cs="Times New Roman"/>
          <w:sz w:val="20"/>
          <w:szCs w:val="20"/>
        </w:rPr>
        <w:t xml:space="preserve"> kuna</w:t>
      </w:r>
      <w:r w:rsidR="00BA743D" w:rsidRPr="005564A9">
        <w:rPr>
          <w:rFonts w:ascii="Times New Roman" w:hAnsi="Times New Roman" w:cs="Times New Roman"/>
          <w:sz w:val="20"/>
          <w:szCs w:val="20"/>
        </w:rPr>
        <w:t>)</w:t>
      </w:r>
      <w:bookmarkEnd w:id="11"/>
    </w:p>
    <w:tbl>
      <w:tblPr>
        <w:tblW w:w="9482" w:type="dxa"/>
        <w:jc w:val="center"/>
        <w:tblInd w:w="-27" w:type="dxa"/>
        <w:tblLook w:val="04A0" w:firstRow="1" w:lastRow="0" w:firstColumn="1" w:lastColumn="0" w:noHBand="0" w:noVBand="1"/>
      </w:tblPr>
      <w:tblGrid>
        <w:gridCol w:w="1380"/>
        <w:gridCol w:w="3150"/>
        <w:gridCol w:w="1134"/>
        <w:gridCol w:w="1134"/>
        <w:gridCol w:w="780"/>
        <w:gridCol w:w="1124"/>
        <w:gridCol w:w="780"/>
      </w:tblGrid>
      <w:tr w:rsidR="00111C2D" w:rsidRPr="00FA7F54" w:rsidTr="005564A9">
        <w:trPr>
          <w:trHeight w:val="450"/>
          <w:jc w:val="center"/>
        </w:trPr>
        <w:tc>
          <w:tcPr>
            <w:tcW w:w="1380" w:type="dxa"/>
            <w:tcBorders>
              <w:top w:val="single" w:sz="4" w:space="0" w:color="000080"/>
              <w:left w:val="single" w:sz="4" w:space="0" w:color="000080"/>
              <w:bottom w:val="single" w:sz="4" w:space="0" w:color="000080"/>
              <w:right w:val="single" w:sz="4" w:space="0" w:color="000080"/>
            </w:tcBorders>
            <w:shd w:val="clear" w:color="000000" w:fill="DCE6F1"/>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p>
        </w:tc>
        <w:tc>
          <w:tcPr>
            <w:tcW w:w="3150" w:type="dxa"/>
            <w:tcBorders>
              <w:top w:val="single" w:sz="4" w:space="0" w:color="000080"/>
              <w:left w:val="nil"/>
              <w:bottom w:val="single" w:sz="4" w:space="0" w:color="000080"/>
              <w:right w:val="single" w:sz="4" w:space="0" w:color="000080"/>
            </w:tcBorders>
            <w:shd w:val="clear" w:color="000000" w:fill="DCE6F1"/>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 </w:t>
            </w:r>
          </w:p>
        </w:tc>
        <w:tc>
          <w:tcPr>
            <w:tcW w:w="1134" w:type="dxa"/>
            <w:tcBorders>
              <w:top w:val="single" w:sz="4" w:space="0" w:color="000080"/>
              <w:left w:val="nil"/>
              <w:bottom w:val="single" w:sz="4" w:space="0" w:color="000080"/>
              <w:right w:val="single" w:sz="4" w:space="0" w:color="000080"/>
            </w:tcBorders>
            <w:shd w:val="clear" w:color="000000" w:fill="DCE6F1"/>
            <w:vAlign w:val="center"/>
            <w:hideMark/>
          </w:tcPr>
          <w:p w:rsidR="00762C5C" w:rsidRPr="00FA7F54" w:rsidRDefault="00762C5C" w:rsidP="004F0DCA">
            <w:pPr>
              <w:spacing w:after="0" w:line="240" w:lineRule="auto"/>
              <w:jc w:val="center"/>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Izvršenje 2013.</w:t>
            </w:r>
          </w:p>
        </w:tc>
        <w:tc>
          <w:tcPr>
            <w:tcW w:w="1134" w:type="dxa"/>
            <w:tcBorders>
              <w:top w:val="single" w:sz="4" w:space="0" w:color="000080"/>
              <w:left w:val="nil"/>
              <w:bottom w:val="single" w:sz="4" w:space="0" w:color="000080"/>
              <w:right w:val="single" w:sz="4" w:space="0" w:color="000080"/>
            </w:tcBorders>
            <w:shd w:val="clear" w:color="000000" w:fill="DCE6F1"/>
            <w:vAlign w:val="center"/>
            <w:hideMark/>
          </w:tcPr>
          <w:p w:rsidR="00762C5C" w:rsidRPr="00FA7F54" w:rsidRDefault="00762C5C" w:rsidP="004F0DCA">
            <w:pPr>
              <w:spacing w:after="0" w:line="240" w:lineRule="auto"/>
              <w:jc w:val="center"/>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Izvršenje 2014.</w:t>
            </w:r>
          </w:p>
        </w:tc>
        <w:tc>
          <w:tcPr>
            <w:tcW w:w="780" w:type="dxa"/>
            <w:tcBorders>
              <w:top w:val="single" w:sz="4" w:space="0" w:color="000080"/>
              <w:left w:val="nil"/>
              <w:bottom w:val="single" w:sz="4" w:space="0" w:color="000080"/>
              <w:right w:val="single" w:sz="4" w:space="0" w:color="000080"/>
            </w:tcBorders>
            <w:shd w:val="clear" w:color="000000" w:fill="DCE6F1"/>
            <w:vAlign w:val="center"/>
            <w:hideMark/>
          </w:tcPr>
          <w:p w:rsidR="00762C5C" w:rsidRPr="00FA7F54" w:rsidRDefault="00762C5C" w:rsidP="008961B2">
            <w:pPr>
              <w:spacing w:after="0" w:line="240" w:lineRule="auto"/>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Indeks</w:t>
            </w:r>
          </w:p>
        </w:tc>
        <w:tc>
          <w:tcPr>
            <w:tcW w:w="1124" w:type="dxa"/>
            <w:tcBorders>
              <w:top w:val="single" w:sz="4" w:space="0" w:color="000080"/>
              <w:left w:val="nil"/>
              <w:bottom w:val="single" w:sz="4" w:space="0" w:color="000080"/>
              <w:right w:val="single" w:sz="4" w:space="0" w:color="000080"/>
            </w:tcBorders>
            <w:shd w:val="clear" w:color="000000" w:fill="DCE6F1"/>
            <w:vAlign w:val="center"/>
            <w:hideMark/>
          </w:tcPr>
          <w:p w:rsidR="00762C5C" w:rsidRPr="00FA7F54" w:rsidRDefault="00111C2D" w:rsidP="00FA7F54">
            <w:pPr>
              <w:spacing w:after="0" w:line="240" w:lineRule="auto"/>
              <w:ind w:firstLineChars="100" w:firstLine="161"/>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 xml:space="preserve">Tekući plan </w:t>
            </w:r>
            <w:r w:rsidR="00762C5C" w:rsidRPr="00FA7F54">
              <w:rPr>
                <w:rFonts w:ascii="Arial" w:eastAsia="Times New Roman" w:hAnsi="Arial" w:cs="Arial"/>
                <w:b/>
                <w:bCs/>
                <w:sz w:val="16"/>
                <w:szCs w:val="16"/>
                <w:lang w:eastAsia="hr-HR"/>
              </w:rPr>
              <w:t>2015.</w:t>
            </w:r>
          </w:p>
        </w:tc>
        <w:tc>
          <w:tcPr>
            <w:tcW w:w="780" w:type="dxa"/>
            <w:tcBorders>
              <w:top w:val="single" w:sz="4" w:space="0" w:color="000080"/>
              <w:left w:val="nil"/>
              <w:bottom w:val="single" w:sz="4" w:space="0" w:color="000080"/>
              <w:right w:val="single" w:sz="4" w:space="0" w:color="000080"/>
            </w:tcBorders>
            <w:shd w:val="clear" w:color="000000" w:fill="DCE6F1"/>
            <w:vAlign w:val="center"/>
            <w:hideMark/>
          </w:tcPr>
          <w:p w:rsidR="00762C5C" w:rsidRPr="00FA7F54" w:rsidRDefault="00762C5C" w:rsidP="00216624">
            <w:pPr>
              <w:spacing w:after="0" w:line="240" w:lineRule="auto"/>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Indeks</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000000" w:fill="DCE6F1"/>
            <w:noWrap/>
            <w:vAlign w:val="center"/>
            <w:hideMark/>
          </w:tcPr>
          <w:p w:rsidR="00762C5C" w:rsidRPr="00FA7F54" w:rsidRDefault="00762C5C" w:rsidP="00FA7F54">
            <w:pPr>
              <w:spacing w:after="0" w:line="240" w:lineRule="auto"/>
              <w:ind w:firstLineChars="200" w:firstLine="321"/>
              <w:rPr>
                <w:rFonts w:ascii="Arial" w:eastAsia="Times New Roman" w:hAnsi="Arial" w:cs="Arial"/>
                <w:b/>
                <w:sz w:val="16"/>
                <w:szCs w:val="16"/>
                <w:lang w:eastAsia="hr-HR"/>
              </w:rPr>
            </w:pPr>
            <w:r w:rsidRPr="00FA7F54">
              <w:rPr>
                <w:rFonts w:ascii="Arial" w:eastAsia="Times New Roman" w:hAnsi="Arial" w:cs="Arial"/>
                <w:b/>
                <w:sz w:val="16"/>
                <w:szCs w:val="16"/>
                <w:lang w:eastAsia="hr-HR"/>
              </w:rPr>
              <w:t>- 32</w:t>
            </w:r>
          </w:p>
        </w:tc>
        <w:tc>
          <w:tcPr>
            <w:tcW w:w="3150" w:type="dxa"/>
            <w:tcBorders>
              <w:top w:val="nil"/>
              <w:left w:val="nil"/>
              <w:bottom w:val="single" w:sz="4" w:space="0" w:color="000080"/>
              <w:right w:val="single" w:sz="4" w:space="0" w:color="000080"/>
            </w:tcBorders>
            <w:shd w:val="clear" w:color="000000" w:fill="DCE6F1"/>
            <w:noWrap/>
            <w:vAlign w:val="center"/>
            <w:hideMark/>
          </w:tcPr>
          <w:p w:rsidR="00762C5C" w:rsidRPr="00FA7F54" w:rsidRDefault="00762C5C" w:rsidP="00FA7F54">
            <w:pPr>
              <w:spacing w:after="0" w:line="240" w:lineRule="auto"/>
              <w:ind w:firstLineChars="100" w:firstLine="161"/>
              <w:rPr>
                <w:rFonts w:ascii="Arial" w:eastAsia="Times New Roman" w:hAnsi="Arial" w:cs="Arial"/>
                <w:b/>
                <w:sz w:val="16"/>
                <w:szCs w:val="16"/>
                <w:lang w:eastAsia="hr-HR"/>
              </w:rPr>
            </w:pPr>
            <w:r w:rsidRPr="00FA7F54">
              <w:rPr>
                <w:rFonts w:ascii="Arial" w:eastAsia="Times New Roman" w:hAnsi="Arial" w:cs="Arial"/>
                <w:b/>
                <w:sz w:val="16"/>
                <w:szCs w:val="16"/>
                <w:lang w:eastAsia="hr-HR"/>
              </w:rPr>
              <w:t>Materijalni rashodi</w:t>
            </w:r>
          </w:p>
        </w:tc>
        <w:tc>
          <w:tcPr>
            <w:tcW w:w="1134" w:type="dxa"/>
            <w:tcBorders>
              <w:top w:val="nil"/>
              <w:left w:val="nil"/>
              <w:bottom w:val="single" w:sz="4" w:space="0" w:color="000080"/>
              <w:right w:val="single" w:sz="4" w:space="0" w:color="000080"/>
            </w:tcBorders>
            <w:shd w:val="clear" w:color="000000" w:fill="DCE6F1"/>
            <w:noWrap/>
            <w:vAlign w:val="center"/>
            <w:hideMark/>
          </w:tcPr>
          <w:p w:rsidR="00762C5C" w:rsidRPr="00FA7F54" w:rsidRDefault="00762C5C" w:rsidP="00762C5C">
            <w:pPr>
              <w:spacing w:after="0" w:line="240" w:lineRule="auto"/>
              <w:jc w:val="right"/>
              <w:rPr>
                <w:rFonts w:ascii="Arial" w:eastAsia="Times New Roman" w:hAnsi="Arial" w:cs="Arial"/>
                <w:b/>
                <w:color w:val="000000"/>
                <w:sz w:val="16"/>
                <w:szCs w:val="16"/>
                <w:lang w:eastAsia="hr-HR"/>
              </w:rPr>
            </w:pPr>
            <w:r w:rsidRPr="00FA7F54">
              <w:rPr>
                <w:rFonts w:ascii="Arial" w:eastAsia="Times New Roman" w:hAnsi="Arial" w:cs="Arial"/>
                <w:b/>
                <w:color w:val="000000"/>
                <w:sz w:val="16"/>
                <w:szCs w:val="16"/>
                <w:lang w:eastAsia="hr-HR"/>
              </w:rPr>
              <w:t>8.010,951</w:t>
            </w:r>
          </w:p>
        </w:tc>
        <w:tc>
          <w:tcPr>
            <w:tcW w:w="1134" w:type="dxa"/>
            <w:tcBorders>
              <w:top w:val="nil"/>
              <w:left w:val="nil"/>
              <w:bottom w:val="single" w:sz="4" w:space="0" w:color="000080"/>
              <w:right w:val="single" w:sz="4" w:space="0" w:color="000080"/>
            </w:tcBorders>
            <w:shd w:val="clear" w:color="000000" w:fill="DCE6F1"/>
            <w:noWrap/>
            <w:vAlign w:val="center"/>
            <w:hideMark/>
          </w:tcPr>
          <w:p w:rsidR="00762C5C" w:rsidRPr="00FA7F54" w:rsidRDefault="00762C5C" w:rsidP="00762C5C">
            <w:pPr>
              <w:spacing w:after="0" w:line="240" w:lineRule="auto"/>
              <w:jc w:val="right"/>
              <w:rPr>
                <w:rFonts w:ascii="Arial" w:eastAsia="Times New Roman" w:hAnsi="Arial" w:cs="Arial"/>
                <w:b/>
                <w:color w:val="000000"/>
                <w:sz w:val="16"/>
                <w:szCs w:val="16"/>
                <w:lang w:eastAsia="hr-HR"/>
              </w:rPr>
            </w:pPr>
            <w:r w:rsidRPr="00FA7F54">
              <w:rPr>
                <w:rFonts w:ascii="Arial" w:eastAsia="Times New Roman" w:hAnsi="Arial" w:cs="Arial"/>
                <w:b/>
                <w:color w:val="000000"/>
                <w:sz w:val="16"/>
                <w:szCs w:val="16"/>
                <w:lang w:eastAsia="hr-HR"/>
              </w:rPr>
              <w:t>7.595,305</w:t>
            </w:r>
          </w:p>
        </w:tc>
        <w:tc>
          <w:tcPr>
            <w:tcW w:w="780" w:type="dxa"/>
            <w:tcBorders>
              <w:top w:val="nil"/>
              <w:left w:val="nil"/>
              <w:bottom w:val="single" w:sz="4" w:space="0" w:color="000080"/>
              <w:right w:val="single" w:sz="4" w:space="0" w:color="000080"/>
            </w:tcBorders>
            <w:shd w:val="clear" w:color="000000" w:fill="DCE6F1"/>
            <w:noWrap/>
            <w:vAlign w:val="center"/>
            <w:hideMark/>
          </w:tcPr>
          <w:p w:rsidR="00762C5C" w:rsidRPr="00FA7F54" w:rsidRDefault="00762C5C" w:rsidP="00762C5C">
            <w:pPr>
              <w:spacing w:after="0" w:line="240" w:lineRule="auto"/>
              <w:jc w:val="right"/>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94,8</w:t>
            </w:r>
          </w:p>
        </w:tc>
        <w:tc>
          <w:tcPr>
            <w:tcW w:w="1124" w:type="dxa"/>
            <w:tcBorders>
              <w:top w:val="nil"/>
              <w:left w:val="nil"/>
              <w:bottom w:val="single" w:sz="4" w:space="0" w:color="000080"/>
              <w:right w:val="single" w:sz="4" w:space="0" w:color="000080"/>
            </w:tcBorders>
            <w:shd w:val="clear" w:color="000000" w:fill="DCE6F1"/>
            <w:noWrap/>
            <w:vAlign w:val="center"/>
            <w:hideMark/>
          </w:tcPr>
          <w:p w:rsidR="00762C5C" w:rsidRPr="00FA7F54" w:rsidRDefault="00762C5C" w:rsidP="00762C5C">
            <w:pPr>
              <w:spacing w:after="0" w:line="240" w:lineRule="auto"/>
              <w:jc w:val="right"/>
              <w:rPr>
                <w:rFonts w:ascii="Arial" w:eastAsia="Times New Roman" w:hAnsi="Arial" w:cs="Arial"/>
                <w:b/>
                <w:color w:val="000000"/>
                <w:sz w:val="16"/>
                <w:szCs w:val="16"/>
                <w:lang w:eastAsia="hr-HR"/>
              </w:rPr>
            </w:pPr>
            <w:r w:rsidRPr="00FA7F54">
              <w:rPr>
                <w:rFonts w:ascii="Arial" w:eastAsia="Times New Roman" w:hAnsi="Arial" w:cs="Arial"/>
                <w:b/>
                <w:color w:val="000000"/>
                <w:sz w:val="16"/>
                <w:szCs w:val="16"/>
                <w:lang w:eastAsia="hr-HR"/>
              </w:rPr>
              <w:t>10.140,681</w:t>
            </w:r>
          </w:p>
        </w:tc>
        <w:tc>
          <w:tcPr>
            <w:tcW w:w="780" w:type="dxa"/>
            <w:tcBorders>
              <w:top w:val="nil"/>
              <w:left w:val="nil"/>
              <w:bottom w:val="single" w:sz="4" w:space="0" w:color="000080"/>
              <w:right w:val="single" w:sz="4" w:space="0" w:color="000080"/>
            </w:tcBorders>
            <w:shd w:val="clear" w:color="000000" w:fill="DCE6F1"/>
            <w:noWrap/>
            <w:vAlign w:val="center"/>
            <w:hideMark/>
          </w:tcPr>
          <w:p w:rsidR="00762C5C" w:rsidRPr="00FA7F54" w:rsidRDefault="00762C5C" w:rsidP="00762C5C">
            <w:pPr>
              <w:spacing w:after="0" w:line="240" w:lineRule="auto"/>
              <w:jc w:val="right"/>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133,5</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300" w:firstLine="482"/>
              <w:rPr>
                <w:rFonts w:ascii="Arial" w:eastAsia="Times New Roman" w:hAnsi="Arial" w:cs="Arial"/>
                <w:b/>
                <w:sz w:val="16"/>
                <w:szCs w:val="16"/>
                <w:lang w:eastAsia="hr-HR"/>
              </w:rPr>
            </w:pPr>
            <w:r w:rsidRPr="00FA7F54">
              <w:rPr>
                <w:rFonts w:ascii="Arial" w:eastAsia="Times New Roman" w:hAnsi="Arial" w:cs="Arial"/>
                <w:b/>
                <w:sz w:val="16"/>
                <w:szCs w:val="16"/>
                <w:lang w:eastAsia="hr-HR"/>
              </w:rPr>
              <w:t>- 321</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1"/>
              <w:rPr>
                <w:rFonts w:ascii="Arial" w:eastAsia="Times New Roman" w:hAnsi="Arial" w:cs="Arial"/>
                <w:b/>
                <w:sz w:val="16"/>
                <w:szCs w:val="16"/>
                <w:lang w:eastAsia="hr-HR"/>
              </w:rPr>
            </w:pPr>
            <w:r w:rsidRPr="00FA7F54">
              <w:rPr>
                <w:rFonts w:ascii="Arial" w:eastAsia="Times New Roman" w:hAnsi="Arial" w:cs="Arial"/>
                <w:b/>
                <w:sz w:val="16"/>
                <w:szCs w:val="16"/>
                <w:lang w:eastAsia="hr-HR"/>
              </w:rPr>
              <w:t>Naknade troškova zaposlenima</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color w:val="000000"/>
                <w:sz w:val="16"/>
                <w:szCs w:val="16"/>
                <w:lang w:eastAsia="hr-HR"/>
              </w:rPr>
            </w:pPr>
            <w:r w:rsidRPr="00FA7F54">
              <w:rPr>
                <w:rFonts w:ascii="Arial" w:eastAsia="Times New Roman" w:hAnsi="Arial" w:cs="Arial"/>
                <w:b/>
                <w:color w:val="000000"/>
                <w:sz w:val="16"/>
                <w:szCs w:val="16"/>
                <w:lang w:eastAsia="hr-HR"/>
              </w:rPr>
              <w:t>1.056,686</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color w:val="000000"/>
                <w:sz w:val="16"/>
                <w:szCs w:val="16"/>
                <w:lang w:eastAsia="hr-HR"/>
              </w:rPr>
            </w:pPr>
            <w:r w:rsidRPr="00FA7F54">
              <w:rPr>
                <w:rFonts w:ascii="Arial" w:eastAsia="Times New Roman" w:hAnsi="Arial" w:cs="Arial"/>
                <w:b/>
                <w:color w:val="000000"/>
                <w:sz w:val="16"/>
                <w:szCs w:val="16"/>
                <w:lang w:eastAsia="hr-HR"/>
              </w:rPr>
              <w:t>912,869</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sz w:val="16"/>
                <w:szCs w:val="16"/>
                <w:lang w:eastAsia="hr-HR"/>
              </w:rPr>
            </w:pPr>
            <w:r w:rsidRPr="00FA7F54">
              <w:rPr>
                <w:rFonts w:ascii="Arial" w:eastAsia="Times New Roman" w:hAnsi="Arial" w:cs="Arial"/>
                <w:b/>
                <w:sz w:val="16"/>
                <w:szCs w:val="16"/>
                <w:lang w:eastAsia="hr-HR"/>
              </w:rPr>
              <w:t>86,4</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color w:val="000000"/>
                <w:sz w:val="16"/>
                <w:szCs w:val="16"/>
                <w:lang w:eastAsia="hr-HR"/>
              </w:rPr>
            </w:pPr>
            <w:r w:rsidRPr="00FA7F54">
              <w:rPr>
                <w:rFonts w:ascii="Arial" w:eastAsia="Times New Roman" w:hAnsi="Arial" w:cs="Arial"/>
                <w:b/>
                <w:color w:val="000000"/>
                <w:sz w:val="16"/>
                <w:szCs w:val="16"/>
                <w:lang w:eastAsia="hr-HR"/>
              </w:rPr>
              <w:t>1.137,447</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sz w:val="16"/>
                <w:szCs w:val="16"/>
                <w:lang w:eastAsia="hr-HR"/>
              </w:rPr>
            </w:pPr>
            <w:r w:rsidRPr="00FA7F54">
              <w:rPr>
                <w:rFonts w:ascii="Arial" w:eastAsia="Times New Roman" w:hAnsi="Arial" w:cs="Arial"/>
                <w:b/>
                <w:sz w:val="16"/>
                <w:szCs w:val="16"/>
                <w:lang w:eastAsia="hr-HR"/>
              </w:rPr>
              <w:t>124,6</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+ 3211</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Službena putovanja</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178,57</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169,542</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94,9</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284,329</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167,7</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+ 3212</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Naknade za prijevoz, za rad na terenu i odvojeni</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841,595</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705,531</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83,8</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791,059</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112,1</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+ 3213</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Stručno usavršavanje zaposlenika</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25,724</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26,104</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101,5</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47,665</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182,6</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+ 3214</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Ostale naknade troškova zaposlenima</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10,797</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11,692</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108,3</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14,394</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123,1</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300" w:firstLine="482"/>
              <w:rPr>
                <w:rFonts w:ascii="Arial" w:eastAsia="Times New Roman" w:hAnsi="Arial" w:cs="Arial"/>
                <w:b/>
                <w:sz w:val="16"/>
                <w:szCs w:val="16"/>
                <w:lang w:eastAsia="hr-HR"/>
              </w:rPr>
            </w:pPr>
            <w:r w:rsidRPr="00FA7F54">
              <w:rPr>
                <w:rFonts w:ascii="Arial" w:eastAsia="Times New Roman" w:hAnsi="Arial" w:cs="Arial"/>
                <w:b/>
                <w:sz w:val="16"/>
                <w:szCs w:val="16"/>
                <w:lang w:eastAsia="hr-HR"/>
              </w:rPr>
              <w:t>- 322</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1"/>
              <w:rPr>
                <w:rFonts w:ascii="Arial" w:eastAsia="Times New Roman" w:hAnsi="Arial" w:cs="Arial"/>
                <w:b/>
                <w:sz w:val="16"/>
                <w:szCs w:val="16"/>
                <w:lang w:eastAsia="hr-HR"/>
              </w:rPr>
            </w:pPr>
            <w:r w:rsidRPr="00FA7F54">
              <w:rPr>
                <w:rFonts w:ascii="Arial" w:eastAsia="Times New Roman" w:hAnsi="Arial" w:cs="Arial"/>
                <w:b/>
                <w:sz w:val="16"/>
                <w:szCs w:val="16"/>
                <w:lang w:eastAsia="hr-HR"/>
              </w:rPr>
              <w:t>Rashodi za materijal i energiju</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color w:val="000000"/>
                <w:sz w:val="16"/>
                <w:szCs w:val="16"/>
                <w:lang w:eastAsia="hr-HR"/>
              </w:rPr>
            </w:pPr>
            <w:r w:rsidRPr="00FA7F54">
              <w:rPr>
                <w:rFonts w:ascii="Arial" w:eastAsia="Times New Roman" w:hAnsi="Arial" w:cs="Arial"/>
                <w:b/>
                <w:color w:val="000000"/>
                <w:sz w:val="16"/>
                <w:szCs w:val="16"/>
                <w:lang w:eastAsia="hr-HR"/>
              </w:rPr>
              <w:t>1.780,146</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color w:val="000000"/>
                <w:sz w:val="16"/>
                <w:szCs w:val="16"/>
                <w:lang w:eastAsia="hr-HR"/>
              </w:rPr>
            </w:pPr>
            <w:r w:rsidRPr="00FA7F54">
              <w:rPr>
                <w:rFonts w:ascii="Arial" w:eastAsia="Times New Roman" w:hAnsi="Arial" w:cs="Arial"/>
                <w:b/>
                <w:color w:val="000000"/>
                <w:sz w:val="16"/>
                <w:szCs w:val="16"/>
                <w:lang w:eastAsia="hr-HR"/>
              </w:rPr>
              <w:t>1.667,731</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sz w:val="16"/>
                <w:szCs w:val="16"/>
                <w:lang w:eastAsia="hr-HR"/>
              </w:rPr>
            </w:pPr>
            <w:r w:rsidRPr="00FA7F54">
              <w:rPr>
                <w:rFonts w:ascii="Arial" w:eastAsia="Times New Roman" w:hAnsi="Arial" w:cs="Arial"/>
                <w:b/>
                <w:sz w:val="16"/>
                <w:szCs w:val="16"/>
                <w:lang w:eastAsia="hr-HR"/>
              </w:rPr>
              <w:t>93,7</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color w:val="000000"/>
                <w:sz w:val="16"/>
                <w:szCs w:val="16"/>
                <w:lang w:eastAsia="hr-HR"/>
              </w:rPr>
            </w:pPr>
            <w:r w:rsidRPr="00FA7F54">
              <w:rPr>
                <w:rFonts w:ascii="Arial" w:eastAsia="Times New Roman" w:hAnsi="Arial" w:cs="Arial"/>
                <w:b/>
                <w:color w:val="000000"/>
                <w:sz w:val="16"/>
                <w:szCs w:val="16"/>
                <w:lang w:eastAsia="hr-HR"/>
              </w:rPr>
              <w:t>2.540,95</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sz w:val="16"/>
                <w:szCs w:val="16"/>
                <w:lang w:eastAsia="hr-HR"/>
              </w:rPr>
            </w:pPr>
            <w:r w:rsidRPr="00FA7F54">
              <w:rPr>
                <w:rFonts w:ascii="Arial" w:eastAsia="Times New Roman" w:hAnsi="Arial" w:cs="Arial"/>
                <w:b/>
                <w:sz w:val="16"/>
                <w:szCs w:val="16"/>
                <w:lang w:eastAsia="hr-HR"/>
              </w:rPr>
              <w:t>152,4</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+ 3221</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Uredski materijal i ostali materijalni rashodi</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198,634</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186,358</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93,8</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264,01</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141,7</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+ 3222</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Materijal i sirovine</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174,399</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201,832</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115,7</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1.038,358</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514,5</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+ 3223</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Energija</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647,632</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611,092</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94,4</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874,652</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143,1</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+ 3224</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Materijal i dijelovi za tekuće i investicijsko od</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91,433</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108,432</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118,6</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132,822</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122,5</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+ 3225</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Sitni inventar i auto gume</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29,086</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27,381</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94,1</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39,409</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143,9</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+ 3226</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Vojna oprema</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527,338</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359,679</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68,2</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17,942</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5,0</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+ 3227</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Službena, radna i zaštitna odjeća i obuća</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111,624</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172,956</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154,9</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173,757</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100,5</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300" w:firstLine="482"/>
              <w:rPr>
                <w:rFonts w:ascii="Arial" w:eastAsia="Times New Roman" w:hAnsi="Arial" w:cs="Arial"/>
                <w:b/>
                <w:sz w:val="16"/>
                <w:szCs w:val="16"/>
                <w:lang w:eastAsia="hr-HR"/>
              </w:rPr>
            </w:pPr>
            <w:r w:rsidRPr="00FA7F54">
              <w:rPr>
                <w:rFonts w:ascii="Arial" w:eastAsia="Times New Roman" w:hAnsi="Arial" w:cs="Arial"/>
                <w:b/>
                <w:sz w:val="16"/>
                <w:szCs w:val="16"/>
                <w:lang w:eastAsia="hr-HR"/>
              </w:rPr>
              <w:t>- 323</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1"/>
              <w:rPr>
                <w:rFonts w:ascii="Arial" w:eastAsia="Times New Roman" w:hAnsi="Arial" w:cs="Arial"/>
                <w:b/>
                <w:sz w:val="16"/>
                <w:szCs w:val="16"/>
                <w:lang w:eastAsia="hr-HR"/>
              </w:rPr>
            </w:pPr>
            <w:r w:rsidRPr="00FA7F54">
              <w:rPr>
                <w:rFonts w:ascii="Arial" w:eastAsia="Times New Roman" w:hAnsi="Arial" w:cs="Arial"/>
                <w:b/>
                <w:sz w:val="16"/>
                <w:szCs w:val="16"/>
                <w:lang w:eastAsia="hr-HR"/>
              </w:rPr>
              <w:t>Rashodi za usluge</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color w:val="000000"/>
                <w:sz w:val="16"/>
                <w:szCs w:val="16"/>
                <w:lang w:eastAsia="hr-HR"/>
              </w:rPr>
            </w:pPr>
            <w:r w:rsidRPr="00FA7F54">
              <w:rPr>
                <w:rFonts w:ascii="Arial" w:eastAsia="Times New Roman" w:hAnsi="Arial" w:cs="Arial"/>
                <w:b/>
                <w:color w:val="000000"/>
                <w:sz w:val="16"/>
                <w:szCs w:val="16"/>
                <w:lang w:eastAsia="hr-HR"/>
              </w:rPr>
              <w:t>4.541,036</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color w:val="000000"/>
                <w:sz w:val="16"/>
                <w:szCs w:val="16"/>
                <w:lang w:eastAsia="hr-HR"/>
              </w:rPr>
            </w:pPr>
            <w:r w:rsidRPr="00FA7F54">
              <w:rPr>
                <w:rFonts w:ascii="Arial" w:eastAsia="Times New Roman" w:hAnsi="Arial" w:cs="Arial"/>
                <w:b/>
                <w:color w:val="000000"/>
                <w:sz w:val="16"/>
                <w:szCs w:val="16"/>
                <w:lang w:eastAsia="hr-HR"/>
              </w:rPr>
              <w:t>4.449,665</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sz w:val="16"/>
                <w:szCs w:val="16"/>
                <w:lang w:eastAsia="hr-HR"/>
              </w:rPr>
            </w:pPr>
            <w:r w:rsidRPr="00FA7F54">
              <w:rPr>
                <w:rFonts w:ascii="Arial" w:eastAsia="Times New Roman" w:hAnsi="Arial" w:cs="Arial"/>
                <w:b/>
                <w:sz w:val="16"/>
                <w:szCs w:val="16"/>
                <w:lang w:eastAsia="hr-HR"/>
              </w:rPr>
              <w:t>98,0</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color w:val="000000"/>
                <w:sz w:val="16"/>
                <w:szCs w:val="16"/>
                <w:lang w:eastAsia="hr-HR"/>
              </w:rPr>
            </w:pPr>
            <w:r w:rsidRPr="00FA7F54">
              <w:rPr>
                <w:rFonts w:ascii="Arial" w:eastAsia="Times New Roman" w:hAnsi="Arial" w:cs="Arial"/>
                <w:b/>
                <w:color w:val="000000"/>
                <w:sz w:val="16"/>
                <w:szCs w:val="16"/>
                <w:lang w:eastAsia="hr-HR"/>
              </w:rPr>
              <w:t>5.490,84</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sz w:val="16"/>
                <w:szCs w:val="16"/>
                <w:lang w:eastAsia="hr-HR"/>
              </w:rPr>
            </w:pPr>
            <w:r w:rsidRPr="00FA7F54">
              <w:rPr>
                <w:rFonts w:ascii="Arial" w:eastAsia="Times New Roman" w:hAnsi="Arial" w:cs="Arial"/>
                <w:b/>
                <w:sz w:val="16"/>
                <w:szCs w:val="16"/>
                <w:lang w:eastAsia="hr-HR"/>
              </w:rPr>
              <w:t>123,4</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+ 3231</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Usluge telefona, pošte i prijevoza</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495,565</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459,511</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92,7</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484,009</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105,3</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+ 3232</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Usluge tekućeg i investicijskog održavanja</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572,002</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537,89</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94,0</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752,059</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139,8</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+ 3233</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Usluge promidžbe i informiranja</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82,675</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84,041</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101,7</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129,487</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154,1</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+ 3234</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Komunalne usluge</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211,336</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219,812</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104,0</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246,348</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112,1</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+ 3235</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Zakupnine i najamnine</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628,272</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695,883</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110,8</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759,297</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109,1</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+ 3236</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Zdravstvene i veterinarske usluge</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316,016</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315,46</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99,8</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339,119</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107,5</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+ 3237</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Intelektualne i osobne usluge</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689,416</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790,303</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114,6</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1.324,407</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167,6</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+ 3238</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Računalne usluge</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629,665</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581,773</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92,4</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721,877</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124,1</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+ 3239</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Ostale usluge</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916,088</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764,992</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83,5</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734,237</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96,0</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300" w:firstLine="482"/>
              <w:rPr>
                <w:rFonts w:ascii="Arial" w:eastAsia="Times New Roman" w:hAnsi="Arial" w:cs="Arial"/>
                <w:b/>
                <w:sz w:val="16"/>
                <w:szCs w:val="16"/>
                <w:lang w:eastAsia="hr-HR"/>
              </w:rPr>
            </w:pPr>
            <w:r w:rsidRPr="00FA7F54">
              <w:rPr>
                <w:rFonts w:ascii="Arial" w:eastAsia="Times New Roman" w:hAnsi="Arial" w:cs="Arial"/>
                <w:b/>
                <w:sz w:val="16"/>
                <w:szCs w:val="16"/>
                <w:lang w:eastAsia="hr-HR"/>
              </w:rPr>
              <w:t>- 324</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1"/>
              <w:rPr>
                <w:rFonts w:ascii="Arial" w:eastAsia="Times New Roman" w:hAnsi="Arial" w:cs="Arial"/>
                <w:b/>
                <w:sz w:val="16"/>
                <w:szCs w:val="16"/>
                <w:lang w:eastAsia="hr-HR"/>
              </w:rPr>
            </w:pPr>
            <w:r w:rsidRPr="00FA7F54">
              <w:rPr>
                <w:rFonts w:ascii="Arial" w:eastAsia="Times New Roman" w:hAnsi="Arial" w:cs="Arial"/>
                <w:b/>
                <w:sz w:val="16"/>
                <w:szCs w:val="16"/>
                <w:lang w:eastAsia="hr-HR"/>
              </w:rPr>
              <w:t>Naknade troškova osobama izvan radnog odnosa</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color w:val="000000"/>
                <w:sz w:val="16"/>
                <w:szCs w:val="16"/>
                <w:lang w:eastAsia="hr-HR"/>
              </w:rPr>
            </w:pPr>
            <w:r w:rsidRPr="00FA7F54">
              <w:rPr>
                <w:rFonts w:ascii="Arial" w:eastAsia="Times New Roman" w:hAnsi="Arial" w:cs="Arial"/>
                <w:b/>
                <w:color w:val="000000"/>
                <w:sz w:val="16"/>
                <w:szCs w:val="16"/>
                <w:lang w:eastAsia="hr-HR"/>
              </w:rPr>
              <w:t>19,618</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color w:val="000000"/>
                <w:sz w:val="16"/>
                <w:szCs w:val="16"/>
                <w:lang w:eastAsia="hr-HR"/>
              </w:rPr>
            </w:pPr>
            <w:r w:rsidRPr="00FA7F54">
              <w:rPr>
                <w:rFonts w:ascii="Arial" w:eastAsia="Times New Roman" w:hAnsi="Arial" w:cs="Arial"/>
                <w:b/>
                <w:color w:val="000000"/>
                <w:sz w:val="16"/>
                <w:szCs w:val="16"/>
                <w:lang w:eastAsia="hr-HR"/>
              </w:rPr>
              <w:t>26,256</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sz w:val="16"/>
                <w:szCs w:val="16"/>
                <w:lang w:eastAsia="hr-HR"/>
              </w:rPr>
            </w:pPr>
            <w:r w:rsidRPr="00FA7F54">
              <w:rPr>
                <w:rFonts w:ascii="Arial" w:eastAsia="Times New Roman" w:hAnsi="Arial" w:cs="Arial"/>
                <w:b/>
                <w:sz w:val="16"/>
                <w:szCs w:val="16"/>
                <w:lang w:eastAsia="hr-HR"/>
              </w:rPr>
              <w:t>133,8</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color w:val="000000"/>
                <w:sz w:val="16"/>
                <w:szCs w:val="16"/>
                <w:lang w:eastAsia="hr-HR"/>
              </w:rPr>
            </w:pPr>
            <w:r w:rsidRPr="00FA7F54">
              <w:rPr>
                <w:rFonts w:ascii="Arial" w:eastAsia="Times New Roman" w:hAnsi="Arial" w:cs="Arial"/>
                <w:b/>
                <w:color w:val="000000"/>
                <w:sz w:val="16"/>
                <w:szCs w:val="16"/>
                <w:lang w:eastAsia="hr-HR"/>
              </w:rPr>
              <w:t>29,875</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sz w:val="16"/>
                <w:szCs w:val="16"/>
                <w:lang w:eastAsia="hr-HR"/>
              </w:rPr>
            </w:pPr>
            <w:r w:rsidRPr="00FA7F54">
              <w:rPr>
                <w:rFonts w:ascii="Arial" w:eastAsia="Times New Roman" w:hAnsi="Arial" w:cs="Arial"/>
                <w:b/>
                <w:sz w:val="16"/>
                <w:szCs w:val="16"/>
                <w:lang w:eastAsia="hr-HR"/>
              </w:rPr>
              <w:t>113,8</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+ 3241</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Naknade troškova osobama izvan radnog odnosa</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19,618</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26,256</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133,8</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29,875</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113,8</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300" w:firstLine="482"/>
              <w:rPr>
                <w:rFonts w:ascii="Arial" w:eastAsia="Times New Roman" w:hAnsi="Arial" w:cs="Arial"/>
                <w:b/>
                <w:sz w:val="16"/>
                <w:szCs w:val="16"/>
                <w:lang w:eastAsia="hr-HR"/>
              </w:rPr>
            </w:pPr>
            <w:r w:rsidRPr="00FA7F54">
              <w:rPr>
                <w:rFonts w:ascii="Arial" w:eastAsia="Times New Roman" w:hAnsi="Arial" w:cs="Arial"/>
                <w:b/>
                <w:sz w:val="16"/>
                <w:szCs w:val="16"/>
                <w:lang w:eastAsia="hr-HR"/>
              </w:rPr>
              <w:t>- 329</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1"/>
              <w:rPr>
                <w:rFonts w:ascii="Arial" w:eastAsia="Times New Roman" w:hAnsi="Arial" w:cs="Arial"/>
                <w:b/>
                <w:sz w:val="16"/>
                <w:szCs w:val="16"/>
                <w:lang w:eastAsia="hr-HR"/>
              </w:rPr>
            </w:pPr>
            <w:r w:rsidRPr="00FA7F54">
              <w:rPr>
                <w:rFonts w:ascii="Arial" w:eastAsia="Times New Roman" w:hAnsi="Arial" w:cs="Arial"/>
                <w:b/>
                <w:sz w:val="16"/>
                <w:szCs w:val="16"/>
                <w:lang w:eastAsia="hr-HR"/>
              </w:rPr>
              <w:t>Ostali nespomenuti rashodi poslovanja</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color w:val="000000"/>
                <w:sz w:val="16"/>
                <w:szCs w:val="16"/>
                <w:lang w:eastAsia="hr-HR"/>
              </w:rPr>
            </w:pPr>
            <w:r w:rsidRPr="00FA7F54">
              <w:rPr>
                <w:rFonts w:ascii="Arial" w:eastAsia="Times New Roman" w:hAnsi="Arial" w:cs="Arial"/>
                <w:b/>
                <w:color w:val="000000"/>
                <w:sz w:val="16"/>
                <w:szCs w:val="16"/>
                <w:lang w:eastAsia="hr-HR"/>
              </w:rPr>
              <w:t>613,466</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color w:val="000000"/>
                <w:sz w:val="16"/>
                <w:szCs w:val="16"/>
                <w:lang w:eastAsia="hr-HR"/>
              </w:rPr>
            </w:pPr>
            <w:r w:rsidRPr="00FA7F54">
              <w:rPr>
                <w:rFonts w:ascii="Arial" w:eastAsia="Times New Roman" w:hAnsi="Arial" w:cs="Arial"/>
                <w:b/>
                <w:color w:val="000000"/>
                <w:sz w:val="16"/>
                <w:szCs w:val="16"/>
                <w:lang w:eastAsia="hr-HR"/>
              </w:rPr>
              <w:t>538,785</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sz w:val="16"/>
                <w:szCs w:val="16"/>
                <w:lang w:eastAsia="hr-HR"/>
              </w:rPr>
            </w:pPr>
            <w:r w:rsidRPr="00FA7F54">
              <w:rPr>
                <w:rFonts w:ascii="Arial" w:eastAsia="Times New Roman" w:hAnsi="Arial" w:cs="Arial"/>
                <w:b/>
                <w:sz w:val="16"/>
                <w:szCs w:val="16"/>
                <w:lang w:eastAsia="hr-HR"/>
              </w:rPr>
              <w:t>87,8</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color w:val="000000"/>
                <w:sz w:val="16"/>
                <w:szCs w:val="16"/>
                <w:lang w:eastAsia="hr-HR"/>
              </w:rPr>
            </w:pPr>
            <w:r w:rsidRPr="00FA7F54">
              <w:rPr>
                <w:rFonts w:ascii="Arial" w:eastAsia="Times New Roman" w:hAnsi="Arial" w:cs="Arial"/>
                <w:b/>
                <w:color w:val="000000"/>
                <w:sz w:val="16"/>
                <w:szCs w:val="16"/>
                <w:lang w:eastAsia="hr-HR"/>
              </w:rPr>
              <w:t>941,569</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b/>
                <w:sz w:val="16"/>
                <w:szCs w:val="16"/>
                <w:lang w:eastAsia="hr-HR"/>
              </w:rPr>
            </w:pPr>
            <w:r w:rsidRPr="00FA7F54">
              <w:rPr>
                <w:rFonts w:ascii="Arial" w:eastAsia="Times New Roman" w:hAnsi="Arial" w:cs="Arial"/>
                <w:b/>
                <w:sz w:val="16"/>
                <w:szCs w:val="16"/>
                <w:lang w:eastAsia="hr-HR"/>
              </w:rPr>
              <w:t>174,8</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+ 3291</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 xml:space="preserve">Naknade za rad </w:t>
            </w:r>
            <w:proofErr w:type="spellStart"/>
            <w:r w:rsidRPr="00FA7F54">
              <w:rPr>
                <w:rFonts w:ascii="Arial" w:eastAsia="Times New Roman" w:hAnsi="Arial" w:cs="Arial"/>
                <w:sz w:val="16"/>
                <w:szCs w:val="16"/>
                <w:lang w:eastAsia="hr-HR"/>
              </w:rPr>
              <w:t>predstavn.i</w:t>
            </w:r>
            <w:proofErr w:type="spellEnd"/>
            <w:r w:rsidRPr="00FA7F54">
              <w:rPr>
                <w:rFonts w:ascii="Arial" w:eastAsia="Times New Roman" w:hAnsi="Arial" w:cs="Arial"/>
                <w:sz w:val="16"/>
                <w:szCs w:val="16"/>
                <w:lang w:eastAsia="hr-HR"/>
              </w:rPr>
              <w:t xml:space="preserve"> izvršnih tijela, </w:t>
            </w:r>
            <w:proofErr w:type="spellStart"/>
            <w:r w:rsidRPr="00FA7F54">
              <w:rPr>
                <w:rFonts w:ascii="Arial" w:eastAsia="Times New Roman" w:hAnsi="Arial" w:cs="Arial"/>
                <w:sz w:val="16"/>
                <w:szCs w:val="16"/>
                <w:lang w:eastAsia="hr-HR"/>
              </w:rPr>
              <w:t>povje</w:t>
            </w:r>
            <w:proofErr w:type="spellEnd"/>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104,428</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101,308</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97,0</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215,944</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213,2</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+ 3292</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Premije osiguranja</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62,375</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55,964</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89,7</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66,904</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119,5</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+ 3293</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Reprezentacija</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20,516</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18,393</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89,7</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28,301</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153,9</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+ 3294</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Članarine</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251,711</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145,844</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57,9</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127,224</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87,2</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+ 3295</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Pristojbe i naknade</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11,399</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106,607</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935,2</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16,523</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15,5</w:t>
            </w: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+ 3296</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Troškovi sudskih postupaka</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 </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 </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center"/>
              <w:rPr>
                <w:rFonts w:ascii="Arial" w:eastAsia="Times New Roman" w:hAnsi="Arial" w:cs="Arial"/>
                <w:sz w:val="16"/>
                <w:szCs w:val="16"/>
                <w:lang w:eastAsia="hr-HR"/>
              </w:rPr>
            </w:pP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9,816</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center"/>
              <w:rPr>
                <w:rFonts w:ascii="Arial" w:eastAsia="Times New Roman" w:hAnsi="Arial" w:cs="Arial"/>
                <w:sz w:val="16"/>
                <w:szCs w:val="16"/>
                <w:lang w:eastAsia="hr-HR"/>
              </w:rPr>
            </w:pPr>
          </w:p>
        </w:tc>
      </w:tr>
      <w:tr w:rsidR="00762C5C" w:rsidRPr="00FA7F54" w:rsidTr="005564A9">
        <w:trPr>
          <w:trHeight w:val="300"/>
          <w:jc w:val="center"/>
        </w:trPr>
        <w:tc>
          <w:tcPr>
            <w:tcW w:w="1380" w:type="dxa"/>
            <w:tcBorders>
              <w:top w:val="nil"/>
              <w:left w:val="single" w:sz="4" w:space="0" w:color="000080"/>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400" w:firstLine="640"/>
              <w:rPr>
                <w:rFonts w:ascii="Arial" w:eastAsia="Times New Roman" w:hAnsi="Arial" w:cs="Arial"/>
                <w:sz w:val="16"/>
                <w:szCs w:val="16"/>
                <w:lang w:eastAsia="hr-HR"/>
              </w:rPr>
            </w:pPr>
            <w:r w:rsidRPr="00FA7F54">
              <w:rPr>
                <w:rFonts w:ascii="Arial" w:eastAsia="Times New Roman" w:hAnsi="Arial" w:cs="Arial"/>
                <w:sz w:val="16"/>
                <w:szCs w:val="16"/>
                <w:lang w:eastAsia="hr-HR"/>
              </w:rPr>
              <w:t>+ 3299</w:t>
            </w:r>
          </w:p>
        </w:tc>
        <w:tc>
          <w:tcPr>
            <w:tcW w:w="315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Ostali nespomenuti rashodi poslovanja</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163,036</w:t>
            </w:r>
          </w:p>
        </w:tc>
        <w:tc>
          <w:tcPr>
            <w:tcW w:w="113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110,669</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67,9</w:t>
            </w:r>
          </w:p>
        </w:tc>
        <w:tc>
          <w:tcPr>
            <w:tcW w:w="1124"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476,857</w:t>
            </w:r>
          </w:p>
        </w:tc>
        <w:tc>
          <w:tcPr>
            <w:tcW w:w="780" w:type="dxa"/>
            <w:tcBorders>
              <w:top w:val="nil"/>
              <w:left w:val="nil"/>
              <w:bottom w:val="single" w:sz="4" w:space="0" w:color="000080"/>
              <w:right w:val="single" w:sz="4" w:space="0" w:color="000080"/>
            </w:tcBorders>
            <w:shd w:val="clear" w:color="auto" w:fill="auto"/>
            <w:noWrap/>
            <w:vAlign w:val="center"/>
            <w:hideMark/>
          </w:tcPr>
          <w:p w:rsidR="00762C5C" w:rsidRPr="00FA7F54" w:rsidRDefault="00762C5C" w:rsidP="00762C5C">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430,9</w:t>
            </w:r>
          </w:p>
        </w:tc>
      </w:tr>
    </w:tbl>
    <w:p w:rsidR="0085608F" w:rsidRPr="00FA7F54" w:rsidRDefault="0085608F" w:rsidP="00922D60">
      <w:pPr>
        <w:pStyle w:val="Naslov1"/>
        <w:numPr>
          <w:ilvl w:val="0"/>
          <w:numId w:val="4"/>
        </w:numPr>
        <w:ind w:left="567" w:hanging="567"/>
        <w:rPr>
          <w:rFonts w:ascii="Times New Roman" w:hAnsi="Times New Roman" w:cs="Times New Roman"/>
          <w:b w:val="0"/>
          <w:color w:val="auto"/>
          <w:sz w:val="22"/>
          <w:szCs w:val="22"/>
        </w:rPr>
      </w:pPr>
      <w:bookmarkStart w:id="12" w:name="_Toc434411174"/>
      <w:bookmarkStart w:id="13" w:name="_Toc436402317"/>
      <w:r w:rsidRPr="00FA7F54">
        <w:rPr>
          <w:rFonts w:ascii="Times New Roman" w:hAnsi="Times New Roman" w:cs="Times New Roman"/>
          <w:b w:val="0"/>
          <w:color w:val="auto"/>
          <w:sz w:val="22"/>
          <w:szCs w:val="22"/>
        </w:rPr>
        <w:lastRenderedPageBreak/>
        <w:t>NAKNADE TROŠKOVA ZAPOSLENIMA</w:t>
      </w:r>
      <w:r w:rsidR="0001779E" w:rsidRPr="00FA7F54">
        <w:rPr>
          <w:rFonts w:ascii="Times New Roman" w:hAnsi="Times New Roman" w:cs="Times New Roman"/>
          <w:b w:val="0"/>
          <w:color w:val="auto"/>
          <w:sz w:val="22"/>
          <w:szCs w:val="22"/>
        </w:rPr>
        <w:t xml:space="preserve"> (321)</w:t>
      </w:r>
      <w:bookmarkEnd w:id="12"/>
      <w:bookmarkEnd w:id="13"/>
    </w:p>
    <w:p w:rsidR="005D5E4A" w:rsidRPr="00FA7F54" w:rsidRDefault="0085608F" w:rsidP="00C83540">
      <w:pPr>
        <w:spacing w:line="240" w:lineRule="auto"/>
        <w:jc w:val="both"/>
        <w:rPr>
          <w:rFonts w:ascii="Times New Roman" w:hAnsi="Times New Roman" w:cs="Times New Roman"/>
        </w:rPr>
      </w:pPr>
      <w:r w:rsidRPr="00FA7F54">
        <w:rPr>
          <w:rFonts w:ascii="Times New Roman" w:hAnsi="Times New Roman" w:cs="Times New Roman"/>
        </w:rPr>
        <w:t>Naknade troškova zaposlenima</w:t>
      </w:r>
      <w:r w:rsidR="005D6D2D" w:rsidRPr="00FA7F54">
        <w:rPr>
          <w:rFonts w:ascii="Times New Roman" w:hAnsi="Times New Roman" w:cs="Times New Roman"/>
        </w:rPr>
        <w:t xml:space="preserve"> </w:t>
      </w:r>
      <w:r w:rsidR="007476FE" w:rsidRPr="00FA7F54">
        <w:rPr>
          <w:rFonts w:ascii="Times New Roman" w:hAnsi="Times New Roman" w:cs="Times New Roman"/>
        </w:rPr>
        <w:t>prema financijskim izvještajima iznose</w:t>
      </w:r>
      <w:r w:rsidRPr="00FA7F54">
        <w:rPr>
          <w:rFonts w:ascii="Times New Roman" w:hAnsi="Times New Roman" w:cs="Times New Roman"/>
        </w:rPr>
        <w:t xml:space="preserve"> 1</w:t>
      </w:r>
      <w:r w:rsidR="007476FE" w:rsidRPr="00FA7F54">
        <w:rPr>
          <w:rFonts w:ascii="Times New Roman" w:hAnsi="Times New Roman" w:cs="Times New Roman"/>
        </w:rPr>
        <w:t>,3</w:t>
      </w:r>
      <w:r w:rsidRPr="00FA7F54">
        <w:rPr>
          <w:rFonts w:ascii="Times New Roman" w:hAnsi="Times New Roman" w:cs="Times New Roman"/>
        </w:rPr>
        <w:t xml:space="preserve"> ml</w:t>
      </w:r>
      <w:r w:rsidR="00161D5F" w:rsidRPr="00FA7F54">
        <w:rPr>
          <w:rFonts w:ascii="Times New Roman" w:hAnsi="Times New Roman" w:cs="Times New Roman"/>
        </w:rPr>
        <w:t>r</w:t>
      </w:r>
      <w:r w:rsidRPr="00FA7F54">
        <w:rPr>
          <w:rFonts w:ascii="Times New Roman" w:hAnsi="Times New Roman" w:cs="Times New Roman"/>
        </w:rPr>
        <w:t xml:space="preserve">d. </w:t>
      </w:r>
      <w:r w:rsidR="00FD1966">
        <w:rPr>
          <w:rFonts w:ascii="Times New Roman" w:hAnsi="Times New Roman" w:cs="Times New Roman"/>
        </w:rPr>
        <w:t xml:space="preserve">kuna </w:t>
      </w:r>
      <w:r w:rsidRPr="00FA7F54">
        <w:rPr>
          <w:rFonts w:ascii="Times New Roman" w:hAnsi="Times New Roman" w:cs="Times New Roman"/>
        </w:rPr>
        <w:t xml:space="preserve">u 2013. </w:t>
      </w:r>
      <w:r w:rsidR="007476FE" w:rsidRPr="00FA7F54">
        <w:rPr>
          <w:rFonts w:ascii="Times New Roman" w:hAnsi="Times New Roman" w:cs="Times New Roman"/>
        </w:rPr>
        <w:t>godini odnosno 1,</w:t>
      </w:r>
      <w:r w:rsidR="00FD1966">
        <w:rPr>
          <w:rFonts w:ascii="Times New Roman" w:hAnsi="Times New Roman" w:cs="Times New Roman"/>
        </w:rPr>
        <w:t>2</w:t>
      </w:r>
      <w:r w:rsidR="00FD1966" w:rsidRPr="00FA7F54">
        <w:rPr>
          <w:rFonts w:ascii="Times New Roman" w:hAnsi="Times New Roman" w:cs="Times New Roman"/>
        </w:rPr>
        <w:t xml:space="preserve"> </w:t>
      </w:r>
      <w:r w:rsidR="003511DA" w:rsidRPr="00FA7F54">
        <w:rPr>
          <w:rFonts w:ascii="Times New Roman" w:hAnsi="Times New Roman" w:cs="Times New Roman"/>
        </w:rPr>
        <w:t>ml</w:t>
      </w:r>
      <w:r w:rsidR="00161D5F" w:rsidRPr="00FA7F54">
        <w:rPr>
          <w:rFonts w:ascii="Times New Roman" w:hAnsi="Times New Roman" w:cs="Times New Roman"/>
        </w:rPr>
        <w:t>r</w:t>
      </w:r>
      <w:r w:rsidR="003511DA" w:rsidRPr="00FA7F54">
        <w:rPr>
          <w:rFonts w:ascii="Times New Roman" w:hAnsi="Times New Roman" w:cs="Times New Roman"/>
        </w:rPr>
        <w:t>d.</w:t>
      </w:r>
      <w:r w:rsidR="00FD1966">
        <w:rPr>
          <w:rFonts w:ascii="Times New Roman" w:hAnsi="Times New Roman" w:cs="Times New Roman"/>
        </w:rPr>
        <w:t xml:space="preserve"> kuna</w:t>
      </w:r>
      <w:r w:rsidR="003511DA" w:rsidRPr="00FA7F54">
        <w:rPr>
          <w:rFonts w:ascii="Times New Roman" w:hAnsi="Times New Roman" w:cs="Times New Roman"/>
        </w:rPr>
        <w:t xml:space="preserve"> u 2014. </w:t>
      </w:r>
      <w:r w:rsidR="007476FE" w:rsidRPr="00FA7F54">
        <w:rPr>
          <w:rFonts w:ascii="Times New Roman" w:hAnsi="Times New Roman" w:cs="Times New Roman"/>
        </w:rPr>
        <w:t>g</w:t>
      </w:r>
      <w:r w:rsidR="003511DA" w:rsidRPr="00FA7F54">
        <w:rPr>
          <w:rFonts w:ascii="Times New Roman" w:hAnsi="Times New Roman" w:cs="Times New Roman"/>
        </w:rPr>
        <w:t>odini</w:t>
      </w:r>
      <w:r w:rsidR="007476FE" w:rsidRPr="00FA7F54">
        <w:rPr>
          <w:rFonts w:ascii="Times New Roman" w:hAnsi="Times New Roman" w:cs="Times New Roman"/>
        </w:rPr>
        <w:t>.</w:t>
      </w:r>
      <w:r w:rsidR="005A7F80" w:rsidRPr="00FA7F54">
        <w:rPr>
          <w:rFonts w:ascii="Times New Roman" w:hAnsi="Times New Roman" w:cs="Times New Roman"/>
        </w:rPr>
        <w:t xml:space="preserve"> Iako je</w:t>
      </w:r>
      <w:r w:rsidR="00AA3BF8" w:rsidRPr="00FA7F54">
        <w:rPr>
          <w:rFonts w:ascii="Times New Roman" w:hAnsi="Times New Roman" w:cs="Times New Roman"/>
        </w:rPr>
        <w:t xml:space="preserve"> </w:t>
      </w:r>
      <w:r w:rsidR="005A7F80" w:rsidRPr="00FA7F54">
        <w:rPr>
          <w:rFonts w:ascii="Times New Roman" w:hAnsi="Times New Roman" w:cs="Times New Roman"/>
        </w:rPr>
        <w:t>prosječan broj zaposlenih u tijelima na osnovi stanja krajem izvještajnog razdoblja za 2014. u odnosu na 2013. godinu</w:t>
      </w:r>
      <w:r w:rsidR="00FD1966" w:rsidRPr="00FD1966">
        <w:rPr>
          <w:rFonts w:ascii="Times New Roman" w:hAnsi="Times New Roman" w:cs="Times New Roman"/>
        </w:rPr>
        <w:t xml:space="preserve"> </w:t>
      </w:r>
      <w:r w:rsidR="00FD1966" w:rsidRPr="00FA7F54">
        <w:rPr>
          <w:rFonts w:ascii="Times New Roman" w:hAnsi="Times New Roman" w:cs="Times New Roman"/>
        </w:rPr>
        <w:t>povećan</w:t>
      </w:r>
      <w:r w:rsidR="005A7F80" w:rsidRPr="00FA7F54">
        <w:rPr>
          <w:rFonts w:ascii="Times New Roman" w:hAnsi="Times New Roman" w:cs="Times New Roman"/>
        </w:rPr>
        <w:t xml:space="preserve">, prosječne naknade troškova zaposlenima smanjene su sa 9.409 kuna godišnje po zaposlenom u 2013. na 8.292 kuna godišnje po zaposlenom u 2014. godini. </w:t>
      </w:r>
      <w:r w:rsidR="005D5E4A" w:rsidRPr="00FA7F54">
        <w:rPr>
          <w:rFonts w:ascii="Times New Roman" w:hAnsi="Times New Roman" w:cs="Times New Roman"/>
        </w:rPr>
        <w:t>Najveći udio u naknadama troškova zaposlenima čine naknade za prijevoz i za rad na terenu (u 2014. godini 68</w:t>
      </w:r>
      <w:r w:rsidR="00FD1966">
        <w:rPr>
          <w:rFonts w:ascii="Times New Roman" w:hAnsi="Times New Roman" w:cs="Times New Roman"/>
        </w:rPr>
        <w:t>%</w:t>
      </w:r>
      <w:r w:rsidR="005D5E4A" w:rsidRPr="00FA7F54">
        <w:rPr>
          <w:rFonts w:ascii="Times New Roman" w:hAnsi="Times New Roman" w:cs="Times New Roman"/>
        </w:rPr>
        <w:t>) te rashodi za službena putovanja (u 2014. godini 24</w:t>
      </w:r>
      <w:r w:rsidR="00FD1966">
        <w:rPr>
          <w:rFonts w:ascii="Times New Roman" w:hAnsi="Times New Roman" w:cs="Times New Roman"/>
        </w:rPr>
        <w:t>%</w:t>
      </w:r>
      <w:r w:rsidR="005D5E4A" w:rsidRPr="00FA7F54">
        <w:rPr>
          <w:rFonts w:ascii="Times New Roman" w:hAnsi="Times New Roman" w:cs="Times New Roman"/>
        </w:rPr>
        <w:t xml:space="preserve">). </w:t>
      </w:r>
    </w:p>
    <w:p w:rsidR="009835A2" w:rsidRPr="0071751E" w:rsidRDefault="009835A2" w:rsidP="0071751E">
      <w:pPr>
        <w:pStyle w:val="Opisslike"/>
        <w:spacing w:after="0"/>
        <w:jc w:val="both"/>
        <w:rPr>
          <w:rFonts w:ascii="Times New Roman" w:hAnsi="Times New Roman" w:cs="Times New Roman"/>
          <w:sz w:val="20"/>
          <w:szCs w:val="20"/>
        </w:rPr>
      </w:pPr>
      <w:bookmarkStart w:id="14" w:name="_Toc436402251"/>
      <w:r w:rsidRPr="0071751E">
        <w:rPr>
          <w:rFonts w:ascii="Times New Roman" w:hAnsi="Times New Roman" w:cs="Times New Roman"/>
          <w:sz w:val="20"/>
          <w:szCs w:val="20"/>
        </w:rPr>
        <w:t xml:space="preserve">Tabela </w:t>
      </w:r>
      <w:r w:rsidR="002D0343" w:rsidRPr="0071751E">
        <w:rPr>
          <w:rFonts w:ascii="Times New Roman" w:hAnsi="Times New Roman" w:cs="Times New Roman"/>
          <w:sz w:val="20"/>
          <w:szCs w:val="20"/>
        </w:rPr>
        <w:fldChar w:fldCharType="begin"/>
      </w:r>
      <w:r w:rsidRPr="0071751E">
        <w:rPr>
          <w:rFonts w:ascii="Times New Roman" w:hAnsi="Times New Roman" w:cs="Times New Roman"/>
          <w:sz w:val="20"/>
          <w:szCs w:val="20"/>
        </w:rPr>
        <w:instrText xml:space="preserve"> SEQ Tabela \* ARABIC </w:instrText>
      </w:r>
      <w:r w:rsidR="002D0343" w:rsidRPr="0071751E">
        <w:rPr>
          <w:rFonts w:ascii="Times New Roman" w:hAnsi="Times New Roman" w:cs="Times New Roman"/>
          <w:sz w:val="20"/>
          <w:szCs w:val="20"/>
        </w:rPr>
        <w:fldChar w:fldCharType="separate"/>
      </w:r>
      <w:r w:rsidR="00F50808">
        <w:rPr>
          <w:rFonts w:ascii="Times New Roman" w:hAnsi="Times New Roman" w:cs="Times New Roman"/>
          <w:noProof/>
          <w:sz w:val="20"/>
          <w:szCs w:val="20"/>
        </w:rPr>
        <w:t>4</w:t>
      </w:r>
      <w:r w:rsidR="002D0343" w:rsidRPr="0071751E">
        <w:rPr>
          <w:rFonts w:ascii="Times New Roman" w:hAnsi="Times New Roman" w:cs="Times New Roman"/>
          <w:sz w:val="20"/>
          <w:szCs w:val="20"/>
        </w:rPr>
        <w:fldChar w:fldCharType="end"/>
      </w:r>
      <w:r w:rsidRPr="0071751E">
        <w:rPr>
          <w:rFonts w:ascii="Times New Roman" w:hAnsi="Times New Roman" w:cs="Times New Roman"/>
          <w:sz w:val="20"/>
          <w:szCs w:val="20"/>
        </w:rPr>
        <w:t>:</w:t>
      </w:r>
      <w:r w:rsidR="00BA743D" w:rsidRPr="0071751E">
        <w:rPr>
          <w:rFonts w:ascii="Times New Roman" w:hAnsi="Times New Roman" w:cs="Times New Roman"/>
          <w:sz w:val="20"/>
          <w:szCs w:val="20"/>
        </w:rPr>
        <w:t xml:space="preserve"> </w:t>
      </w:r>
      <w:r w:rsidR="00265603" w:rsidRPr="0071751E">
        <w:rPr>
          <w:rFonts w:ascii="Times New Roman" w:hAnsi="Times New Roman" w:cs="Times New Roman"/>
          <w:sz w:val="20"/>
          <w:szCs w:val="20"/>
        </w:rPr>
        <w:t>Naknade troškova zaposlenima prema podacima iskazanim u financijskim izvještajima proračunskih i izvanproračunskih korisnika za 2013. i 2014. godinu</w:t>
      </w:r>
      <w:bookmarkEnd w:id="14"/>
    </w:p>
    <w:p w:rsidR="005D5E4A" w:rsidRPr="00FA7F54" w:rsidRDefault="005D5E4A" w:rsidP="00C83540">
      <w:pPr>
        <w:spacing w:line="240" w:lineRule="auto"/>
        <w:jc w:val="both"/>
        <w:rPr>
          <w:rFonts w:ascii="Times New Roman" w:hAnsi="Times New Roman" w:cs="Times New Roman"/>
        </w:rPr>
      </w:pPr>
      <w:r w:rsidRPr="00FA7F54">
        <w:rPr>
          <w:noProof/>
          <w:lang w:eastAsia="hr-HR"/>
        </w:rPr>
        <w:drawing>
          <wp:inline distT="0" distB="0" distL="0" distR="0" wp14:anchorId="63D86CCA" wp14:editId="00D25B60">
            <wp:extent cx="5760720" cy="105156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051560"/>
                    </a:xfrm>
                    <a:prstGeom prst="rect">
                      <a:avLst/>
                    </a:prstGeom>
                    <a:noFill/>
                    <a:ln>
                      <a:noFill/>
                    </a:ln>
                  </pic:spPr>
                </pic:pic>
              </a:graphicData>
            </a:graphic>
          </wp:inline>
        </w:drawing>
      </w:r>
    </w:p>
    <w:p w:rsidR="005D5E4A" w:rsidRPr="00FA7F54" w:rsidRDefault="007476FE" w:rsidP="00C83540">
      <w:pPr>
        <w:spacing w:line="240" w:lineRule="auto"/>
        <w:jc w:val="both"/>
        <w:rPr>
          <w:rFonts w:ascii="Times New Roman" w:hAnsi="Times New Roman" w:cs="Times New Roman"/>
        </w:rPr>
      </w:pPr>
      <w:r w:rsidRPr="00FA7F54">
        <w:rPr>
          <w:rFonts w:ascii="Times New Roman" w:hAnsi="Times New Roman" w:cs="Times New Roman"/>
        </w:rPr>
        <w:t xml:space="preserve">U državnom su proračunu ove naknade iskazane u visini </w:t>
      </w:r>
      <w:r w:rsidR="001C01A8">
        <w:rPr>
          <w:rFonts w:ascii="Times New Roman" w:hAnsi="Times New Roman" w:cs="Times New Roman"/>
        </w:rPr>
        <w:t>0,9</w:t>
      </w:r>
      <w:r w:rsidRPr="00FA7F54">
        <w:rPr>
          <w:rFonts w:ascii="Times New Roman" w:hAnsi="Times New Roman" w:cs="Times New Roman"/>
        </w:rPr>
        <w:t xml:space="preserve"> ml</w:t>
      </w:r>
      <w:r w:rsidR="00161D5F" w:rsidRPr="00FA7F54">
        <w:rPr>
          <w:rFonts w:ascii="Times New Roman" w:hAnsi="Times New Roman" w:cs="Times New Roman"/>
        </w:rPr>
        <w:t>r</w:t>
      </w:r>
      <w:r w:rsidRPr="00FA7F54">
        <w:rPr>
          <w:rFonts w:ascii="Times New Roman" w:hAnsi="Times New Roman" w:cs="Times New Roman"/>
        </w:rPr>
        <w:t xml:space="preserve">d. </w:t>
      </w:r>
      <w:r w:rsidR="001C01A8">
        <w:rPr>
          <w:rFonts w:ascii="Times New Roman" w:hAnsi="Times New Roman" w:cs="Times New Roman"/>
        </w:rPr>
        <w:t xml:space="preserve">kuna </w:t>
      </w:r>
      <w:r w:rsidRPr="00FA7F54">
        <w:rPr>
          <w:rFonts w:ascii="Times New Roman" w:hAnsi="Times New Roman" w:cs="Times New Roman"/>
        </w:rPr>
        <w:t>u 2014. godini</w:t>
      </w:r>
      <w:r w:rsidR="003511DA" w:rsidRPr="00FA7F54">
        <w:rPr>
          <w:rFonts w:ascii="Times New Roman" w:hAnsi="Times New Roman" w:cs="Times New Roman"/>
        </w:rPr>
        <w:t xml:space="preserve"> te se</w:t>
      </w:r>
      <w:r w:rsidR="003A6F8E" w:rsidRPr="00FA7F54">
        <w:rPr>
          <w:rFonts w:ascii="Times New Roman" w:hAnsi="Times New Roman" w:cs="Times New Roman"/>
        </w:rPr>
        <w:t xml:space="preserve"> gotovo u cijelosti</w:t>
      </w:r>
      <w:r w:rsidR="00537B5C" w:rsidRPr="00FA7F54">
        <w:rPr>
          <w:rFonts w:ascii="Times New Roman" w:hAnsi="Times New Roman" w:cs="Times New Roman"/>
        </w:rPr>
        <w:t xml:space="preserve"> financiraju</w:t>
      </w:r>
      <w:r w:rsidR="003A6F8E" w:rsidRPr="00FA7F54">
        <w:rPr>
          <w:rFonts w:ascii="Times New Roman" w:hAnsi="Times New Roman" w:cs="Times New Roman"/>
        </w:rPr>
        <w:t xml:space="preserve"> iz izvora u limitu. </w:t>
      </w:r>
      <w:r w:rsidR="003511DA" w:rsidRPr="00FA7F54">
        <w:rPr>
          <w:rFonts w:ascii="Times New Roman" w:hAnsi="Times New Roman" w:cs="Times New Roman"/>
        </w:rPr>
        <w:t xml:space="preserve">U 2015. </w:t>
      </w:r>
      <w:r w:rsidR="00CD7543" w:rsidRPr="00FA7F54">
        <w:rPr>
          <w:rFonts w:ascii="Times New Roman" w:hAnsi="Times New Roman" w:cs="Times New Roman"/>
        </w:rPr>
        <w:t>g</w:t>
      </w:r>
      <w:r w:rsidR="003511DA" w:rsidRPr="00FA7F54">
        <w:rPr>
          <w:rFonts w:ascii="Times New Roman" w:hAnsi="Times New Roman" w:cs="Times New Roman"/>
        </w:rPr>
        <w:t>odini</w:t>
      </w:r>
      <w:r w:rsidR="00CD7543" w:rsidRPr="00FA7F54">
        <w:rPr>
          <w:rFonts w:ascii="Times New Roman" w:hAnsi="Times New Roman" w:cs="Times New Roman"/>
        </w:rPr>
        <w:t>,</w:t>
      </w:r>
      <w:r w:rsidR="003511DA" w:rsidRPr="00FA7F54">
        <w:rPr>
          <w:rFonts w:ascii="Times New Roman" w:hAnsi="Times New Roman" w:cs="Times New Roman"/>
        </w:rPr>
        <w:t xml:space="preserve"> s</w:t>
      </w:r>
      <w:r w:rsidR="003A6F8E" w:rsidRPr="00FA7F54">
        <w:rPr>
          <w:rFonts w:ascii="Times New Roman" w:hAnsi="Times New Roman" w:cs="Times New Roman"/>
        </w:rPr>
        <w:t xml:space="preserve"> uključivanjem vlastitih i namjenskih prihoda u državni proračun, financiranje ovih naknada </w:t>
      </w:r>
      <w:r w:rsidR="005076A8" w:rsidRPr="00FA7F54">
        <w:rPr>
          <w:rFonts w:ascii="Times New Roman" w:hAnsi="Times New Roman" w:cs="Times New Roman"/>
        </w:rPr>
        <w:t>planirano je u visini od</w:t>
      </w:r>
      <w:r w:rsidR="003511DA" w:rsidRPr="00FA7F54">
        <w:rPr>
          <w:rFonts w:ascii="Times New Roman" w:hAnsi="Times New Roman" w:cs="Times New Roman"/>
        </w:rPr>
        <w:t xml:space="preserve"> </w:t>
      </w:r>
      <w:r w:rsidR="00A821FA" w:rsidRPr="00FA7F54">
        <w:rPr>
          <w:rFonts w:ascii="Times New Roman" w:hAnsi="Times New Roman" w:cs="Times New Roman"/>
        </w:rPr>
        <w:t>1,</w:t>
      </w:r>
      <w:proofErr w:type="spellStart"/>
      <w:r w:rsidR="001C01A8">
        <w:rPr>
          <w:rFonts w:ascii="Times New Roman" w:hAnsi="Times New Roman" w:cs="Times New Roman"/>
        </w:rPr>
        <w:t>1</w:t>
      </w:r>
      <w:proofErr w:type="spellEnd"/>
      <w:r w:rsidR="001C01A8" w:rsidRPr="00FA7F54">
        <w:rPr>
          <w:rFonts w:ascii="Times New Roman" w:hAnsi="Times New Roman" w:cs="Times New Roman"/>
        </w:rPr>
        <w:t xml:space="preserve"> </w:t>
      </w:r>
      <w:r w:rsidR="00A821FA" w:rsidRPr="00FA7F54">
        <w:rPr>
          <w:rFonts w:ascii="Times New Roman" w:hAnsi="Times New Roman" w:cs="Times New Roman"/>
        </w:rPr>
        <w:t>ml</w:t>
      </w:r>
      <w:r w:rsidR="00161D5F" w:rsidRPr="00FA7F54">
        <w:rPr>
          <w:rFonts w:ascii="Times New Roman" w:hAnsi="Times New Roman" w:cs="Times New Roman"/>
        </w:rPr>
        <w:t>r</w:t>
      </w:r>
      <w:r w:rsidR="00A821FA" w:rsidRPr="00FA7F54">
        <w:rPr>
          <w:rFonts w:ascii="Times New Roman" w:hAnsi="Times New Roman" w:cs="Times New Roman"/>
        </w:rPr>
        <w:t>d</w:t>
      </w:r>
      <w:r w:rsidR="003511DA" w:rsidRPr="00FA7F54">
        <w:rPr>
          <w:rFonts w:ascii="Times New Roman" w:hAnsi="Times New Roman" w:cs="Times New Roman"/>
        </w:rPr>
        <w:t>. kuna dok</w:t>
      </w:r>
      <w:r w:rsidR="00AD39C4" w:rsidRPr="00FA7F54">
        <w:rPr>
          <w:rFonts w:ascii="Times New Roman" w:hAnsi="Times New Roman" w:cs="Times New Roman"/>
        </w:rPr>
        <w:t xml:space="preserve"> je financiranje iz izvora u limitu</w:t>
      </w:r>
      <w:r w:rsidRPr="00FA7F54">
        <w:rPr>
          <w:rFonts w:ascii="Times New Roman" w:hAnsi="Times New Roman" w:cs="Times New Roman"/>
        </w:rPr>
        <w:t xml:space="preserve"> zadržano na istoj razini od </w:t>
      </w:r>
      <w:proofErr w:type="spellStart"/>
      <w:r w:rsidRPr="00FA7F54">
        <w:rPr>
          <w:rFonts w:ascii="Times New Roman" w:hAnsi="Times New Roman" w:cs="Times New Roman"/>
        </w:rPr>
        <w:t>cca</w:t>
      </w:r>
      <w:proofErr w:type="spellEnd"/>
      <w:r w:rsidRPr="00FA7F54">
        <w:rPr>
          <w:rFonts w:ascii="Times New Roman" w:hAnsi="Times New Roman" w:cs="Times New Roman"/>
        </w:rPr>
        <w:t xml:space="preserve"> 0,9</w:t>
      </w:r>
      <w:r w:rsidR="003511DA" w:rsidRPr="00FA7F54">
        <w:rPr>
          <w:rFonts w:ascii="Times New Roman" w:hAnsi="Times New Roman" w:cs="Times New Roman"/>
        </w:rPr>
        <w:t xml:space="preserve"> ml</w:t>
      </w:r>
      <w:r w:rsidR="00161D5F" w:rsidRPr="00FA7F54">
        <w:rPr>
          <w:rFonts w:ascii="Times New Roman" w:hAnsi="Times New Roman" w:cs="Times New Roman"/>
        </w:rPr>
        <w:t>r</w:t>
      </w:r>
      <w:r w:rsidR="003511DA" w:rsidRPr="00FA7F54">
        <w:rPr>
          <w:rFonts w:ascii="Times New Roman" w:hAnsi="Times New Roman" w:cs="Times New Roman"/>
        </w:rPr>
        <w:t>d. kuna.</w:t>
      </w:r>
      <w:r w:rsidR="00A821FA" w:rsidRPr="00FA7F54">
        <w:rPr>
          <w:rFonts w:ascii="Times New Roman" w:hAnsi="Times New Roman" w:cs="Times New Roman"/>
        </w:rPr>
        <w:t xml:space="preserve"> </w:t>
      </w:r>
    </w:p>
    <w:p w:rsidR="00EF4060" w:rsidRPr="0071751E" w:rsidRDefault="009835A2" w:rsidP="0071751E">
      <w:pPr>
        <w:pStyle w:val="Opisslike"/>
        <w:spacing w:after="0"/>
        <w:jc w:val="both"/>
        <w:rPr>
          <w:rFonts w:ascii="Times New Roman" w:hAnsi="Times New Roman" w:cs="Times New Roman"/>
          <w:sz w:val="20"/>
          <w:szCs w:val="20"/>
        </w:rPr>
      </w:pPr>
      <w:bookmarkStart w:id="15" w:name="_Toc436402252"/>
      <w:r w:rsidRPr="0071751E">
        <w:rPr>
          <w:rFonts w:ascii="Times New Roman" w:hAnsi="Times New Roman" w:cs="Times New Roman"/>
          <w:sz w:val="20"/>
          <w:szCs w:val="20"/>
        </w:rPr>
        <w:t xml:space="preserve">Tabela </w:t>
      </w:r>
      <w:r w:rsidR="002D0343" w:rsidRPr="0071751E">
        <w:rPr>
          <w:rFonts w:ascii="Times New Roman" w:hAnsi="Times New Roman" w:cs="Times New Roman"/>
          <w:sz w:val="20"/>
          <w:szCs w:val="20"/>
        </w:rPr>
        <w:fldChar w:fldCharType="begin"/>
      </w:r>
      <w:r w:rsidRPr="0071751E">
        <w:rPr>
          <w:rFonts w:ascii="Times New Roman" w:hAnsi="Times New Roman" w:cs="Times New Roman"/>
          <w:sz w:val="20"/>
          <w:szCs w:val="20"/>
        </w:rPr>
        <w:instrText xml:space="preserve"> SEQ Tabela \* ARABIC </w:instrText>
      </w:r>
      <w:r w:rsidR="002D0343" w:rsidRPr="0071751E">
        <w:rPr>
          <w:rFonts w:ascii="Times New Roman" w:hAnsi="Times New Roman" w:cs="Times New Roman"/>
          <w:sz w:val="20"/>
          <w:szCs w:val="20"/>
        </w:rPr>
        <w:fldChar w:fldCharType="separate"/>
      </w:r>
      <w:r w:rsidR="00F50808">
        <w:rPr>
          <w:rFonts w:ascii="Times New Roman" w:hAnsi="Times New Roman" w:cs="Times New Roman"/>
          <w:noProof/>
          <w:sz w:val="20"/>
          <w:szCs w:val="20"/>
        </w:rPr>
        <w:t>5</w:t>
      </w:r>
      <w:r w:rsidR="002D0343" w:rsidRPr="0071751E">
        <w:rPr>
          <w:rFonts w:ascii="Times New Roman" w:hAnsi="Times New Roman" w:cs="Times New Roman"/>
          <w:sz w:val="20"/>
          <w:szCs w:val="20"/>
        </w:rPr>
        <w:fldChar w:fldCharType="end"/>
      </w:r>
      <w:r w:rsidRPr="0071751E">
        <w:rPr>
          <w:rFonts w:ascii="Times New Roman" w:hAnsi="Times New Roman" w:cs="Times New Roman"/>
          <w:sz w:val="20"/>
          <w:szCs w:val="20"/>
        </w:rPr>
        <w:t xml:space="preserve">: </w:t>
      </w:r>
      <w:r w:rsidR="00EF4060" w:rsidRPr="0071751E">
        <w:rPr>
          <w:rFonts w:ascii="Times New Roman" w:hAnsi="Times New Roman" w:cs="Times New Roman"/>
          <w:sz w:val="20"/>
          <w:szCs w:val="20"/>
        </w:rPr>
        <w:t>Naknade troškova zaposlenima</w:t>
      </w:r>
      <w:r w:rsidR="00265603" w:rsidRPr="0071751E">
        <w:rPr>
          <w:rFonts w:ascii="Times New Roman" w:hAnsi="Times New Roman" w:cs="Times New Roman"/>
          <w:sz w:val="20"/>
          <w:szCs w:val="20"/>
        </w:rPr>
        <w:t xml:space="preserve"> prema podacima iskazanim u državnom proračunu </w:t>
      </w:r>
      <w:r w:rsidR="00EF4060" w:rsidRPr="0071751E">
        <w:rPr>
          <w:rFonts w:ascii="Times New Roman" w:hAnsi="Times New Roman" w:cs="Times New Roman"/>
          <w:sz w:val="20"/>
          <w:szCs w:val="20"/>
        </w:rPr>
        <w:t>– izvršenje za 2013., 2014. i plan za 2015.</w:t>
      </w:r>
      <w:r w:rsidR="00265603" w:rsidRPr="0071751E">
        <w:rPr>
          <w:rFonts w:ascii="Times New Roman" w:hAnsi="Times New Roman" w:cs="Times New Roman"/>
          <w:sz w:val="20"/>
          <w:szCs w:val="20"/>
        </w:rPr>
        <w:t xml:space="preserve"> (u mil.</w:t>
      </w:r>
      <w:r w:rsidR="001C01A8">
        <w:rPr>
          <w:rFonts w:ascii="Times New Roman" w:hAnsi="Times New Roman" w:cs="Times New Roman"/>
          <w:sz w:val="20"/>
          <w:szCs w:val="20"/>
        </w:rPr>
        <w:t xml:space="preserve"> kuna</w:t>
      </w:r>
      <w:r w:rsidR="00265603" w:rsidRPr="0071751E">
        <w:rPr>
          <w:rFonts w:ascii="Times New Roman" w:hAnsi="Times New Roman" w:cs="Times New Roman"/>
          <w:sz w:val="20"/>
          <w:szCs w:val="20"/>
        </w:rPr>
        <w:t>)</w:t>
      </w:r>
      <w:bookmarkEnd w:id="15"/>
    </w:p>
    <w:tbl>
      <w:tblPr>
        <w:tblW w:w="9208" w:type="dxa"/>
        <w:jc w:val="center"/>
        <w:tblInd w:w="-27" w:type="dxa"/>
        <w:tblLook w:val="04A0" w:firstRow="1" w:lastRow="0" w:firstColumn="1" w:lastColumn="0" w:noHBand="0" w:noVBand="1"/>
      </w:tblPr>
      <w:tblGrid>
        <w:gridCol w:w="1128"/>
        <w:gridCol w:w="2740"/>
        <w:gridCol w:w="1120"/>
        <w:gridCol w:w="1200"/>
        <w:gridCol w:w="940"/>
        <w:gridCol w:w="1200"/>
        <w:gridCol w:w="880"/>
      </w:tblGrid>
      <w:tr w:rsidR="00F17C52" w:rsidRPr="00FA7F54" w:rsidTr="0071751E">
        <w:trPr>
          <w:trHeight w:val="450"/>
          <w:jc w:val="center"/>
        </w:trPr>
        <w:tc>
          <w:tcPr>
            <w:tcW w:w="1128" w:type="dxa"/>
            <w:tcBorders>
              <w:top w:val="single" w:sz="4" w:space="0" w:color="000080"/>
              <w:left w:val="single" w:sz="4" w:space="0" w:color="000080"/>
              <w:bottom w:val="single" w:sz="4" w:space="0" w:color="000080"/>
              <w:right w:val="single" w:sz="4" w:space="0" w:color="000080"/>
            </w:tcBorders>
            <w:shd w:val="clear" w:color="000000" w:fill="DCE6F1"/>
            <w:noWrap/>
            <w:vAlign w:val="center"/>
            <w:hideMark/>
          </w:tcPr>
          <w:p w:rsidR="00F17C52" w:rsidRPr="00FA7F54" w:rsidRDefault="00F17C52"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 </w:t>
            </w:r>
          </w:p>
        </w:tc>
        <w:tc>
          <w:tcPr>
            <w:tcW w:w="2740" w:type="dxa"/>
            <w:tcBorders>
              <w:top w:val="single" w:sz="4" w:space="0" w:color="000080"/>
              <w:left w:val="nil"/>
              <w:bottom w:val="single" w:sz="4" w:space="0" w:color="000080"/>
              <w:right w:val="single" w:sz="4" w:space="0" w:color="000080"/>
            </w:tcBorders>
            <w:shd w:val="clear" w:color="000000" w:fill="DCE6F1"/>
            <w:noWrap/>
            <w:vAlign w:val="center"/>
            <w:hideMark/>
          </w:tcPr>
          <w:p w:rsidR="00F17C52" w:rsidRPr="00FA7F54" w:rsidRDefault="00F17C52"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 </w:t>
            </w:r>
          </w:p>
        </w:tc>
        <w:tc>
          <w:tcPr>
            <w:tcW w:w="1120" w:type="dxa"/>
            <w:tcBorders>
              <w:top w:val="single" w:sz="4" w:space="0" w:color="000080"/>
              <w:left w:val="nil"/>
              <w:bottom w:val="single" w:sz="4" w:space="0" w:color="000080"/>
              <w:right w:val="single" w:sz="4" w:space="0" w:color="000080"/>
            </w:tcBorders>
            <w:shd w:val="clear" w:color="000000" w:fill="DCE6F1"/>
            <w:vAlign w:val="center"/>
            <w:hideMark/>
          </w:tcPr>
          <w:p w:rsidR="00F17C52" w:rsidRPr="00FA7F54" w:rsidRDefault="00F17C52" w:rsidP="0071751E">
            <w:pPr>
              <w:spacing w:after="0" w:line="240" w:lineRule="auto"/>
              <w:jc w:val="center"/>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Izvršenje 2013.</w:t>
            </w:r>
          </w:p>
        </w:tc>
        <w:tc>
          <w:tcPr>
            <w:tcW w:w="1200" w:type="dxa"/>
            <w:tcBorders>
              <w:top w:val="single" w:sz="4" w:space="0" w:color="000080"/>
              <w:left w:val="nil"/>
              <w:bottom w:val="single" w:sz="4" w:space="0" w:color="000080"/>
              <w:right w:val="single" w:sz="4" w:space="0" w:color="000080"/>
            </w:tcBorders>
            <w:shd w:val="clear" w:color="000000" w:fill="DCE6F1"/>
            <w:vAlign w:val="center"/>
            <w:hideMark/>
          </w:tcPr>
          <w:p w:rsidR="00F17C52" w:rsidRPr="00FA7F54" w:rsidRDefault="00F17C52" w:rsidP="0071751E">
            <w:pPr>
              <w:spacing w:after="0" w:line="240" w:lineRule="auto"/>
              <w:jc w:val="center"/>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Izvršenje 2014.</w:t>
            </w:r>
          </w:p>
        </w:tc>
        <w:tc>
          <w:tcPr>
            <w:tcW w:w="940" w:type="dxa"/>
            <w:tcBorders>
              <w:top w:val="single" w:sz="4" w:space="0" w:color="000080"/>
              <w:left w:val="nil"/>
              <w:bottom w:val="single" w:sz="4" w:space="0" w:color="000080"/>
              <w:right w:val="single" w:sz="4" w:space="0" w:color="000080"/>
            </w:tcBorders>
            <w:shd w:val="clear" w:color="000000" w:fill="DCE6F1"/>
            <w:vAlign w:val="center"/>
            <w:hideMark/>
          </w:tcPr>
          <w:p w:rsidR="00F17C52" w:rsidRPr="00FA7F54" w:rsidRDefault="00F17C52" w:rsidP="0071751E">
            <w:pPr>
              <w:spacing w:after="0" w:line="240" w:lineRule="auto"/>
              <w:ind w:firstLineChars="100" w:firstLine="161"/>
              <w:jc w:val="center"/>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Indeks</w:t>
            </w:r>
          </w:p>
        </w:tc>
        <w:tc>
          <w:tcPr>
            <w:tcW w:w="1200" w:type="dxa"/>
            <w:tcBorders>
              <w:top w:val="single" w:sz="4" w:space="0" w:color="000080"/>
              <w:left w:val="nil"/>
              <w:bottom w:val="single" w:sz="4" w:space="0" w:color="000080"/>
              <w:right w:val="single" w:sz="4" w:space="0" w:color="000080"/>
            </w:tcBorders>
            <w:shd w:val="clear" w:color="000000" w:fill="DCE6F1"/>
            <w:vAlign w:val="center"/>
            <w:hideMark/>
          </w:tcPr>
          <w:p w:rsidR="00F17C52" w:rsidRPr="00FA7F54" w:rsidRDefault="00071347" w:rsidP="0071751E">
            <w:pPr>
              <w:spacing w:after="0" w:line="240" w:lineRule="auto"/>
              <w:jc w:val="center"/>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 xml:space="preserve">Tekući plan </w:t>
            </w:r>
            <w:r w:rsidR="00F17C52" w:rsidRPr="00FA7F54">
              <w:rPr>
                <w:rFonts w:ascii="Arial" w:eastAsia="Times New Roman" w:hAnsi="Arial" w:cs="Arial"/>
                <w:b/>
                <w:bCs/>
                <w:sz w:val="16"/>
                <w:szCs w:val="16"/>
                <w:lang w:eastAsia="hr-HR"/>
              </w:rPr>
              <w:t>2015.</w:t>
            </w:r>
          </w:p>
        </w:tc>
        <w:tc>
          <w:tcPr>
            <w:tcW w:w="880" w:type="dxa"/>
            <w:tcBorders>
              <w:top w:val="single" w:sz="4" w:space="0" w:color="000080"/>
              <w:left w:val="nil"/>
              <w:bottom w:val="single" w:sz="4" w:space="0" w:color="000080"/>
              <w:right w:val="single" w:sz="4" w:space="0" w:color="000080"/>
            </w:tcBorders>
            <w:shd w:val="clear" w:color="000000" w:fill="DCE6F1"/>
            <w:vAlign w:val="center"/>
            <w:hideMark/>
          </w:tcPr>
          <w:p w:rsidR="00F17C52" w:rsidRPr="00FA7F54" w:rsidRDefault="00F17C52" w:rsidP="0071751E">
            <w:pPr>
              <w:spacing w:after="0" w:line="240" w:lineRule="auto"/>
              <w:jc w:val="center"/>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Indeks</w:t>
            </w:r>
          </w:p>
        </w:tc>
      </w:tr>
      <w:tr w:rsidR="00F17C52" w:rsidRPr="00FA7F54" w:rsidTr="0071751E">
        <w:trPr>
          <w:trHeight w:val="300"/>
          <w:jc w:val="center"/>
        </w:trPr>
        <w:tc>
          <w:tcPr>
            <w:tcW w:w="1128" w:type="dxa"/>
            <w:tcBorders>
              <w:top w:val="nil"/>
              <w:left w:val="single" w:sz="4" w:space="0" w:color="000080"/>
              <w:bottom w:val="single" w:sz="4" w:space="0" w:color="000080"/>
              <w:right w:val="single" w:sz="4" w:space="0" w:color="000080"/>
            </w:tcBorders>
            <w:shd w:val="clear" w:color="000000" w:fill="DCE6F1"/>
            <w:noWrap/>
            <w:vAlign w:val="center"/>
            <w:hideMark/>
          </w:tcPr>
          <w:p w:rsidR="00F17C52" w:rsidRPr="00FA7F54" w:rsidRDefault="00F17C52" w:rsidP="00FA7F54">
            <w:pPr>
              <w:spacing w:after="0" w:line="240" w:lineRule="auto"/>
              <w:ind w:firstLineChars="200" w:firstLine="320"/>
              <w:rPr>
                <w:rFonts w:ascii="Arial" w:eastAsia="Times New Roman" w:hAnsi="Arial" w:cs="Arial"/>
                <w:sz w:val="16"/>
                <w:szCs w:val="16"/>
                <w:lang w:eastAsia="hr-HR"/>
              </w:rPr>
            </w:pPr>
            <w:r w:rsidRPr="00FA7F54">
              <w:rPr>
                <w:rFonts w:ascii="Arial" w:eastAsia="Times New Roman" w:hAnsi="Arial" w:cs="Arial"/>
                <w:sz w:val="16"/>
                <w:szCs w:val="16"/>
                <w:lang w:eastAsia="hr-HR"/>
              </w:rPr>
              <w:t>- 321</w:t>
            </w:r>
          </w:p>
        </w:tc>
        <w:tc>
          <w:tcPr>
            <w:tcW w:w="2740" w:type="dxa"/>
            <w:tcBorders>
              <w:top w:val="nil"/>
              <w:left w:val="nil"/>
              <w:bottom w:val="single" w:sz="4" w:space="0" w:color="000080"/>
              <w:right w:val="single" w:sz="4" w:space="0" w:color="000080"/>
            </w:tcBorders>
            <w:shd w:val="clear" w:color="000000" w:fill="DCE6F1"/>
            <w:noWrap/>
            <w:vAlign w:val="center"/>
            <w:hideMark/>
          </w:tcPr>
          <w:p w:rsidR="00F17C52" w:rsidRPr="00FA7F54" w:rsidRDefault="00F17C52"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Naknade troškova zaposlenima</w:t>
            </w:r>
          </w:p>
        </w:tc>
        <w:tc>
          <w:tcPr>
            <w:tcW w:w="1120" w:type="dxa"/>
            <w:tcBorders>
              <w:top w:val="nil"/>
              <w:left w:val="nil"/>
              <w:bottom w:val="single" w:sz="4" w:space="0" w:color="000080"/>
              <w:right w:val="single" w:sz="4" w:space="0" w:color="000080"/>
            </w:tcBorders>
            <w:shd w:val="clear" w:color="000000" w:fill="DCE6F1"/>
            <w:noWrap/>
            <w:vAlign w:val="center"/>
            <w:hideMark/>
          </w:tcPr>
          <w:p w:rsidR="00F17C52" w:rsidRPr="00FA7F54" w:rsidRDefault="00F17C52" w:rsidP="00F17C52">
            <w:pPr>
              <w:spacing w:after="0" w:line="240" w:lineRule="auto"/>
              <w:jc w:val="right"/>
              <w:rPr>
                <w:rFonts w:ascii="Arial" w:eastAsia="Times New Roman" w:hAnsi="Arial" w:cs="Arial"/>
                <w:b/>
                <w:bCs/>
                <w:color w:val="000000"/>
                <w:sz w:val="16"/>
                <w:szCs w:val="16"/>
                <w:lang w:eastAsia="hr-HR"/>
              </w:rPr>
            </w:pPr>
            <w:r w:rsidRPr="00FA7F54">
              <w:rPr>
                <w:rFonts w:ascii="Arial" w:eastAsia="Times New Roman" w:hAnsi="Arial" w:cs="Arial"/>
                <w:b/>
                <w:bCs/>
                <w:color w:val="000000"/>
                <w:sz w:val="16"/>
                <w:szCs w:val="16"/>
                <w:lang w:eastAsia="hr-HR"/>
              </w:rPr>
              <w:t>1.056,686</w:t>
            </w:r>
          </w:p>
        </w:tc>
        <w:tc>
          <w:tcPr>
            <w:tcW w:w="1200" w:type="dxa"/>
            <w:tcBorders>
              <w:top w:val="nil"/>
              <w:left w:val="nil"/>
              <w:bottom w:val="single" w:sz="4" w:space="0" w:color="000080"/>
              <w:right w:val="single" w:sz="4" w:space="0" w:color="000080"/>
            </w:tcBorders>
            <w:shd w:val="clear" w:color="000000" w:fill="DCE6F1"/>
            <w:noWrap/>
            <w:vAlign w:val="center"/>
            <w:hideMark/>
          </w:tcPr>
          <w:p w:rsidR="00F17C52" w:rsidRPr="00FA7F54" w:rsidRDefault="00F17C52" w:rsidP="00F17C52">
            <w:pPr>
              <w:spacing w:after="0" w:line="240" w:lineRule="auto"/>
              <w:jc w:val="right"/>
              <w:rPr>
                <w:rFonts w:ascii="Arial" w:eastAsia="Times New Roman" w:hAnsi="Arial" w:cs="Arial"/>
                <w:b/>
                <w:bCs/>
                <w:color w:val="000000"/>
                <w:sz w:val="16"/>
                <w:szCs w:val="16"/>
                <w:lang w:eastAsia="hr-HR"/>
              </w:rPr>
            </w:pPr>
            <w:r w:rsidRPr="00FA7F54">
              <w:rPr>
                <w:rFonts w:ascii="Arial" w:eastAsia="Times New Roman" w:hAnsi="Arial" w:cs="Arial"/>
                <w:b/>
                <w:bCs/>
                <w:color w:val="000000"/>
                <w:sz w:val="16"/>
                <w:szCs w:val="16"/>
                <w:lang w:eastAsia="hr-HR"/>
              </w:rPr>
              <w:t>912,869</w:t>
            </w:r>
          </w:p>
        </w:tc>
        <w:tc>
          <w:tcPr>
            <w:tcW w:w="940" w:type="dxa"/>
            <w:tcBorders>
              <w:top w:val="nil"/>
              <w:left w:val="nil"/>
              <w:bottom w:val="single" w:sz="4" w:space="0" w:color="000080"/>
              <w:right w:val="single" w:sz="4" w:space="0" w:color="000080"/>
            </w:tcBorders>
            <w:shd w:val="clear" w:color="000000" w:fill="DCE6F1"/>
            <w:noWrap/>
            <w:vAlign w:val="center"/>
            <w:hideMark/>
          </w:tcPr>
          <w:p w:rsidR="00F17C52" w:rsidRPr="00FA7F54" w:rsidRDefault="00F17C52" w:rsidP="00F17C52">
            <w:pPr>
              <w:spacing w:after="0" w:line="240" w:lineRule="auto"/>
              <w:jc w:val="right"/>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86,4</w:t>
            </w:r>
          </w:p>
        </w:tc>
        <w:tc>
          <w:tcPr>
            <w:tcW w:w="1200" w:type="dxa"/>
            <w:tcBorders>
              <w:top w:val="nil"/>
              <w:left w:val="nil"/>
              <w:bottom w:val="single" w:sz="4" w:space="0" w:color="000080"/>
              <w:right w:val="single" w:sz="4" w:space="0" w:color="000080"/>
            </w:tcBorders>
            <w:shd w:val="clear" w:color="000000" w:fill="DCE6F1"/>
            <w:noWrap/>
            <w:vAlign w:val="center"/>
            <w:hideMark/>
          </w:tcPr>
          <w:p w:rsidR="00F17C52" w:rsidRPr="00FA7F54" w:rsidRDefault="00F17C52" w:rsidP="00F17C52">
            <w:pPr>
              <w:spacing w:after="0" w:line="240" w:lineRule="auto"/>
              <w:jc w:val="right"/>
              <w:rPr>
                <w:rFonts w:ascii="Arial" w:eastAsia="Times New Roman" w:hAnsi="Arial" w:cs="Arial"/>
                <w:b/>
                <w:bCs/>
                <w:color w:val="000000"/>
                <w:sz w:val="16"/>
                <w:szCs w:val="16"/>
                <w:lang w:eastAsia="hr-HR"/>
              </w:rPr>
            </w:pPr>
            <w:r w:rsidRPr="00FA7F54">
              <w:rPr>
                <w:rFonts w:ascii="Arial" w:eastAsia="Times New Roman" w:hAnsi="Arial" w:cs="Arial"/>
                <w:b/>
                <w:bCs/>
                <w:color w:val="000000"/>
                <w:sz w:val="16"/>
                <w:szCs w:val="16"/>
                <w:lang w:eastAsia="hr-HR"/>
              </w:rPr>
              <w:t>1.137,428</w:t>
            </w:r>
          </w:p>
        </w:tc>
        <w:tc>
          <w:tcPr>
            <w:tcW w:w="880" w:type="dxa"/>
            <w:tcBorders>
              <w:top w:val="nil"/>
              <w:left w:val="nil"/>
              <w:bottom w:val="single" w:sz="4" w:space="0" w:color="000080"/>
              <w:right w:val="single" w:sz="4" w:space="0" w:color="000080"/>
            </w:tcBorders>
            <w:shd w:val="clear" w:color="000000" w:fill="DCE6F1"/>
            <w:noWrap/>
            <w:vAlign w:val="center"/>
            <w:hideMark/>
          </w:tcPr>
          <w:p w:rsidR="00F17C52" w:rsidRPr="00FA7F54" w:rsidRDefault="00F17C52" w:rsidP="00F17C52">
            <w:pPr>
              <w:spacing w:after="0" w:line="240" w:lineRule="auto"/>
              <w:jc w:val="right"/>
              <w:rPr>
                <w:rFonts w:ascii="Arial" w:eastAsia="Times New Roman" w:hAnsi="Arial" w:cs="Arial"/>
                <w:b/>
                <w:bCs/>
                <w:sz w:val="16"/>
                <w:szCs w:val="16"/>
                <w:lang w:eastAsia="hr-HR"/>
              </w:rPr>
            </w:pPr>
            <w:r w:rsidRPr="00FA7F54">
              <w:rPr>
                <w:rFonts w:ascii="Arial" w:eastAsia="Times New Roman" w:hAnsi="Arial" w:cs="Arial"/>
                <w:b/>
                <w:bCs/>
                <w:sz w:val="16"/>
                <w:szCs w:val="16"/>
                <w:lang w:eastAsia="hr-HR"/>
              </w:rPr>
              <w:t>124,6</w:t>
            </w:r>
          </w:p>
        </w:tc>
      </w:tr>
      <w:tr w:rsidR="00F17C52" w:rsidRPr="00FA7F54" w:rsidTr="0071751E">
        <w:trPr>
          <w:trHeight w:val="450"/>
          <w:jc w:val="center"/>
        </w:trPr>
        <w:tc>
          <w:tcPr>
            <w:tcW w:w="1128" w:type="dxa"/>
            <w:tcBorders>
              <w:top w:val="nil"/>
              <w:left w:val="single" w:sz="4" w:space="0" w:color="000080"/>
              <w:bottom w:val="single" w:sz="4" w:space="0" w:color="000080"/>
              <w:right w:val="single" w:sz="4" w:space="0" w:color="000080"/>
            </w:tcBorders>
            <w:shd w:val="clear" w:color="auto" w:fill="auto"/>
            <w:noWrap/>
            <w:vAlign w:val="center"/>
            <w:hideMark/>
          </w:tcPr>
          <w:p w:rsidR="00F17C52" w:rsidRPr="00FA7F54" w:rsidRDefault="00F17C52" w:rsidP="00FA7F54">
            <w:pPr>
              <w:spacing w:after="0" w:line="240" w:lineRule="auto"/>
              <w:ind w:firstLineChars="200" w:firstLine="320"/>
              <w:rPr>
                <w:rFonts w:ascii="Arial" w:eastAsia="Times New Roman" w:hAnsi="Arial" w:cs="Arial"/>
                <w:sz w:val="16"/>
                <w:szCs w:val="16"/>
                <w:lang w:eastAsia="hr-HR"/>
              </w:rPr>
            </w:pPr>
            <w:r w:rsidRPr="00FA7F54">
              <w:rPr>
                <w:rFonts w:ascii="Arial" w:eastAsia="Times New Roman" w:hAnsi="Arial" w:cs="Arial"/>
                <w:sz w:val="16"/>
                <w:szCs w:val="16"/>
                <w:lang w:eastAsia="hr-HR"/>
              </w:rPr>
              <w:t>- 1+2+8</w:t>
            </w:r>
          </w:p>
        </w:tc>
        <w:tc>
          <w:tcPr>
            <w:tcW w:w="2740" w:type="dxa"/>
            <w:tcBorders>
              <w:top w:val="nil"/>
              <w:left w:val="nil"/>
              <w:bottom w:val="single" w:sz="4" w:space="0" w:color="000080"/>
              <w:right w:val="single" w:sz="4" w:space="0" w:color="000080"/>
            </w:tcBorders>
            <w:shd w:val="clear" w:color="auto" w:fill="auto"/>
            <w:vAlign w:val="center"/>
            <w:hideMark/>
          </w:tcPr>
          <w:p w:rsidR="00F17C52" w:rsidRPr="00FA7F54" w:rsidRDefault="00F17C52"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Naknade troškova zaposlenima u limitu</w:t>
            </w:r>
          </w:p>
        </w:tc>
        <w:tc>
          <w:tcPr>
            <w:tcW w:w="1120" w:type="dxa"/>
            <w:tcBorders>
              <w:top w:val="nil"/>
              <w:left w:val="nil"/>
              <w:bottom w:val="single" w:sz="4" w:space="0" w:color="000080"/>
              <w:right w:val="single" w:sz="4" w:space="0" w:color="000080"/>
            </w:tcBorders>
            <w:shd w:val="clear" w:color="auto" w:fill="auto"/>
            <w:noWrap/>
            <w:vAlign w:val="center"/>
            <w:hideMark/>
          </w:tcPr>
          <w:p w:rsidR="00F17C52" w:rsidRPr="00FA7F54" w:rsidRDefault="00F17C52" w:rsidP="00F17C52">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1.037,004</w:t>
            </w:r>
          </w:p>
        </w:tc>
        <w:tc>
          <w:tcPr>
            <w:tcW w:w="1200" w:type="dxa"/>
            <w:tcBorders>
              <w:top w:val="nil"/>
              <w:left w:val="nil"/>
              <w:bottom w:val="single" w:sz="4" w:space="0" w:color="000080"/>
              <w:right w:val="single" w:sz="4" w:space="0" w:color="000080"/>
            </w:tcBorders>
            <w:shd w:val="clear" w:color="auto" w:fill="auto"/>
            <w:noWrap/>
            <w:vAlign w:val="center"/>
            <w:hideMark/>
          </w:tcPr>
          <w:p w:rsidR="00F17C52" w:rsidRPr="00FA7F54" w:rsidRDefault="00F17C52" w:rsidP="00F17C52">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885,314</w:t>
            </w:r>
          </w:p>
        </w:tc>
        <w:tc>
          <w:tcPr>
            <w:tcW w:w="940" w:type="dxa"/>
            <w:tcBorders>
              <w:top w:val="nil"/>
              <w:left w:val="nil"/>
              <w:bottom w:val="single" w:sz="4" w:space="0" w:color="000080"/>
              <w:right w:val="single" w:sz="4" w:space="0" w:color="000080"/>
            </w:tcBorders>
            <w:shd w:val="clear" w:color="auto" w:fill="auto"/>
            <w:noWrap/>
            <w:vAlign w:val="center"/>
            <w:hideMark/>
          </w:tcPr>
          <w:p w:rsidR="00F17C52" w:rsidRPr="00FA7F54" w:rsidRDefault="00F17C52" w:rsidP="00F17C52">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85,4</w:t>
            </w:r>
          </w:p>
        </w:tc>
        <w:tc>
          <w:tcPr>
            <w:tcW w:w="1200" w:type="dxa"/>
            <w:tcBorders>
              <w:top w:val="nil"/>
              <w:left w:val="nil"/>
              <w:bottom w:val="single" w:sz="4" w:space="0" w:color="000080"/>
              <w:right w:val="single" w:sz="4" w:space="0" w:color="000080"/>
            </w:tcBorders>
            <w:shd w:val="clear" w:color="auto" w:fill="auto"/>
            <w:noWrap/>
            <w:vAlign w:val="center"/>
            <w:hideMark/>
          </w:tcPr>
          <w:p w:rsidR="00F17C52" w:rsidRPr="00FA7F54" w:rsidRDefault="00F17C52" w:rsidP="00F17C52">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887,839</w:t>
            </w:r>
          </w:p>
        </w:tc>
        <w:tc>
          <w:tcPr>
            <w:tcW w:w="880" w:type="dxa"/>
            <w:tcBorders>
              <w:top w:val="nil"/>
              <w:left w:val="nil"/>
              <w:bottom w:val="single" w:sz="4" w:space="0" w:color="000080"/>
              <w:right w:val="single" w:sz="4" w:space="0" w:color="000080"/>
            </w:tcBorders>
            <w:shd w:val="clear" w:color="auto" w:fill="auto"/>
            <w:noWrap/>
            <w:vAlign w:val="center"/>
            <w:hideMark/>
          </w:tcPr>
          <w:p w:rsidR="00F17C52" w:rsidRPr="00FA7F54" w:rsidRDefault="00F17C52" w:rsidP="00F17C52">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100,3</w:t>
            </w:r>
          </w:p>
        </w:tc>
      </w:tr>
      <w:tr w:rsidR="00F17C52" w:rsidRPr="00FA7F54" w:rsidTr="0071751E">
        <w:trPr>
          <w:trHeight w:val="450"/>
          <w:jc w:val="center"/>
        </w:trPr>
        <w:tc>
          <w:tcPr>
            <w:tcW w:w="1128" w:type="dxa"/>
            <w:tcBorders>
              <w:top w:val="nil"/>
              <w:left w:val="single" w:sz="4" w:space="0" w:color="000080"/>
              <w:bottom w:val="single" w:sz="4" w:space="0" w:color="000080"/>
              <w:right w:val="single" w:sz="4" w:space="0" w:color="000080"/>
            </w:tcBorders>
            <w:shd w:val="clear" w:color="auto" w:fill="auto"/>
            <w:vAlign w:val="center"/>
            <w:hideMark/>
          </w:tcPr>
          <w:p w:rsidR="00F17C52" w:rsidRPr="00FA7F54" w:rsidRDefault="00F17C52" w:rsidP="00FA7F54">
            <w:pPr>
              <w:spacing w:after="0" w:line="240" w:lineRule="auto"/>
              <w:ind w:firstLineChars="200" w:firstLine="320"/>
              <w:rPr>
                <w:rFonts w:ascii="Arial" w:eastAsia="Times New Roman" w:hAnsi="Arial" w:cs="Arial"/>
                <w:sz w:val="16"/>
                <w:szCs w:val="16"/>
                <w:lang w:eastAsia="hr-HR"/>
              </w:rPr>
            </w:pPr>
            <w:r w:rsidRPr="00FA7F54">
              <w:rPr>
                <w:rFonts w:ascii="Arial" w:eastAsia="Times New Roman" w:hAnsi="Arial" w:cs="Arial"/>
                <w:sz w:val="16"/>
                <w:szCs w:val="16"/>
                <w:lang w:eastAsia="hr-HR"/>
              </w:rPr>
              <w:t xml:space="preserve">- ostali </w:t>
            </w:r>
          </w:p>
          <w:p w:rsidR="00F17C52" w:rsidRPr="00FA7F54" w:rsidRDefault="00F17C52" w:rsidP="00FA7F54">
            <w:pPr>
              <w:spacing w:after="0" w:line="240" w:lineRule="auto"/>
              <w:ind w:firstLineChars="200" w:firstLine="320"/>
              <w:rPr>
                <w:rFonts w:ascii="Arial" w:eastAsia="Times New Roman" w:hAnsi="Arial" w:cs="Arial"/>
                <w:sz w:val="16"/>
                <w:szCs w:val="16"/>
                <w:lang w:eastAsia="hr-HR"/>
              </w:rPr>
            </w:pPr>
            <w:r w:rsidRPr="00FA7F54">
              <w:rPr>
                <w:rFonts w:ascii="Arial" w:eastAsia="Times New Roman" w:hAnsi="Arial" w:cs="Arial"/>
                <w:sz w:val="16"/>
                <w:szCs w:val="16"/>
                <w:lang w:eastAsia="hr-HR"/>
              </w:rPr>
              <w:t xml:space="preserve"> izvori</w:t>
            </w:r>
          </w:p>
        </w:tc>
        <w:tc>
          <w:tcPr>
            <w:tcW w:w="2740" w:type="dxa"/>
            <w:tcBorders>
              <w:top w:val="nil"/>
              <w:left w:val="nil"/>
              <w:bottom w:val="single" w:sz="4" w:space="0" w:color="000080"/>
              <w:right w:val="single" w:sz="4" w:space="0" w:color="000080"/>
            </w:tcBorders>
            <w:shd w:val="clear" w:color="auto" w:fill="auto"/>
            <w:vAlign w:val="center"/>
            <w:hideMark/>
          </w:tcPr>
          <w:p w:rsidR="00F17C52" w:rsidRPr="00FA7F54" w:rsidRDefault="00F17C52" w:rsidP="00FA7F54">
            <w:pPr>
              <w:spacing w:after="0" w:line="240" w:lineRule="auto"/>
              <w:ind w:firstLineChars="100" w:firstLine="160"/>
              <w:rPr>
                <w:rFonts w:ascii="Arial" w:eastAsia="Times New Roman" w:hAnsi="Arial" w:cs="Arial"/>
                <w:sz w:val="16"/>
                <w:szCs w:val="16"/>
                <w:lang w:eastAsia="hr-HR"/>
              </w:rPr>
            </w:pPr>
            <w:r w:rsidRPr="00FA7F54">
              <w:rPr>
                <w:rFonts w:ascii="Arial" w:eastAsia="Times New Roman" w:hAnsi="Arial" w:cs="Arial"/>
                <w:sz w:val="16"/>
                <w:szCs w:val="16"/>
                <w:lang w:eastAsia="hr-HR"/>
              </w:rPr>
              <w:t>Naknade troškova zaposlenima izvan limita</w:t>
            </w:r>
          </w:p>
        </w:tc>
        <w:tc>
          <w:tcPr>
            <w:tcW w:w="1120" w:type="dxa"/>
            <w:tcBorders>
              <w:top w:val="nil"/>
              <w:left w:val="nil"/>
              <w:bottom w:val="single" w:sz="4" w:space="0" w:color="000080"/>
              <w:right w:val="single" w:sz="4" w:space="0" w:color="000080"/>
            </w:tcBorders>
            <w:shd w:val="clear" w:color="auto" w:fill="auto"/>
            <w:noWrap/>
            <w:vAlign w:val="center"/>
            <w:hideMark/>
          </w:tcPr>
          <w:p w:rsidR="00F17C52" w:rsidRPr="00FA7F54" w:rsidRDefault="00F17C52" w:rsidP="00F17C52">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19,682</w:t>
            </w:r>
          </w:p>
        </w:tc>
        <w:tc>
          <w:tcPr>
            <w:tcW w:w="1200" w:type="dxa"/>
            <w:tcBorders>
              <w:top w:val="nil"/>
              <w:left w:val="nil"/>
              <w:bottom w:val="single" w:sz="4" w:space="0" w:color="000080"/>
              <w:right w:val="single" w:sz="4" w:space="0" w:color="000080"/>
            </w:tcBorders>
            <w:shd w:val="clear" w:color="auto" w:fill="auto"/>
            <w:noWrap/>
            <w:vAlign w:val="center"/>
            <w:hideMark/>
          </w:tcPr>
          <w:p w:rsidR="00F17C52" w:rsidRPr="00FA7F54" w:rsidRDefault="00F17C52" w:rsidP="00F17C52">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27,555</w:t>
            </w:r>
          </w:p>
        </w:tc>
        <w:tc>
          <w:tcPr>
            <w:tcW w:w="940" w:type="dxa"/>
            <w:tcBorders>
              <w:top w:val="nil"/>
              <w:left w:val="nil"/>
              <w:bottom w:val="single" w:sz="4" w:space="0" w:color="000080"/>
              <w:right w:val="single" w:sz="4" w:space="0" w:color="000080"/>
            </w:tcBorders>
            <w:shd w:val="clear" w:color="auto" w:fill="auto"/>
            <w:noWrap/>
            <w:vAlign w:val="center"/>
            <w:hideMark/>
          </w:tcPr>
          <w:p w:rsidR="00F17C52" w:rsidRPr="00FA7F54" w:rsidRDefault="00F17C52" w:rsidP="00F17C52">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140,0</w:t>
            </w:r>
          </w:p>
        </w:tc>
        <w:tc>
          <w:tcPr>
            <w:tcW w:w="1200" w:type="dxa"/>
            <w:tcBorders>
              <w:top w:val="nil"/>
              <w:left w:val="nil"/>
              <w:bottom w:val="single" w:sz="4" w:space="0" w:color="000080"/>
              <w:right w:val="single" w:sz="4" w:space="0" w:color="000080"/>
            </w:tcBorders>
            <w:shd w:val="clear" w:color="auto" w:fill="auto"/>
            <w:noWrap/>
            <w:vAlign w:val="center"/>
            <w:hideMark/>
          </w:tcPr>
          <w:p w:rsidR="00F17C52" w:rsidRPr="00FA7F54" w:rsidRDefault="00F17C52" w:rsidP="00F17C52">
            <w:pPr>
              <w:spacing w:after="0" w:line="240" w:lineRule="auto"/>
              <w:jc w:val="right"/>
              <w:rPr>
                <w:rFonts w:ascii="Arial" w:eastAsia="Times New Roman" w:hAnsi="Arial" w:cs="Arial"/>
                <w:color w:val="000000"/>
                <w:sz w:val="16"/>
                <w:szCs w:val="16"/>
                <w:lang w:eastAsia="hr-HR"/>
              </w:rPr>
            </w:pPr>
            <w:r w:rsidRPr="00FA7F54">
              <w:rPr>
                <w:rFonts w:ascii="Arial" w:eastAsia="Times New Roman" w:hAnsi="Arial" w:cs="Arial"/>
                <w:color w:val="000000"/>
                <w:sz w:val="16"/>
                <w:szCs w:val="16"/>
                <w:lang w:eastAsia="hr-HR"/>
              </w:rPr>
              <w:t>249,589</w:t>
            </w:r>
          </w:p>
        </w:tc>
        <w:tc>
          <w:tcPr>
            <w:tcW w:w="880" w:type="dxa"/>
            <w:tcBorders>
              <w:top w:val="nil"/>
              <w:left w:val="nil"/>
              <w:bottom w:val="single" w:sz="4" w:space="0" w:color="000080"/>
              <w:right w:val="single" w:sz="4" w:space="0" w:color="000080"/>
            </w:tcBorders>
            <w:shd w:val="clear" w:color="auto" w:fill="auto"/>
            <w:noWrap/>
            <w:vAlign w:val="center"/>
            <w:hideMark/>
          </w:tcPr>
          <w:p w:rsidR="00F17C52" w:rsidRPr="00FA7F54" w:rsidRDefault="00F17C52" w:rsidP="00F17C52">
            <w:pPr>
              <w:spacing w:after="0" w:line="240" w:lineRule="auto"/>
              <w:jc w:val="right"/>
              <w:rPr>
                <w:rFonts w:ascii="Arial" w:eastAsia="Times New Roman" w:hAnsi="Arial" w:cs="Arial"/>
                <w:sz w:val="16"/>
                <w:szCs w:val="16"/>
                <w:lang w:eastAsia="hr-HR"/>
              </w:rPr>
            </w:pPr>
            <w:r w:rsidRPr="00FA7F54">
              <w:rPr>
                <w:rFonts w:ascii="Arial" w:eastAsia="Times New Roman" w:hAnsi="Arial" w:cs="Arial"/>
                <w:sz w:val="16"/>
                <w:szCs w:val="16"/>
                <w:lang w:eastAsia="hr-HR"/>
              </w:rPr>
              <w:t>905,8</w:t>
            </w:r>
          </w:p>
        </w:tc>
      </w:tr>
    </w:tbl>
    <w:p w:rsidR="001901D2" w:rsidRPr="00FA7F54" w:rsidRDefault="001901D2" w:rsidP="000D0271">
      <w:pPr>
        <w:pStyle w:val="Naslov2"/>
        <w:rPr>
          <w:rFonts w:ascii="Times New Roman" w:hAnsi="Times New Roman" w:cs="Times New Roman"/>
          <w:sz w:val="22"/>
          <w:szCs w:val="22"/>
        </w:rPr>
      </w:pPr>
      <w:bookmarkStart w:id="16" w:name="_Toc434411175"/>
      <w:bookmarkStart w:id="17" w:name="_Toc436402318"/>
      <w:r w:rsidRPr="00FA7F54">
        <w:rPr>
          <w:rFonts w:ascii="Times New Roman" w:hAnsi="Times New Roman" w:cs="Times New Roman"/>
          <w:sz w:val="22"/>
          <w:szCs w:val="22"/>
        </w:rPr>
        <w:t>SLUŽBENA PUTOVANJA</w:t>
      </w:r>
      <w:r w:rsidR="002B2645" w:rsidRPr="00FA7F54">
        <w:rPr>
          <w:rFonts w:ascii="Times New Roman" w:hAnsi="Times New Roman" w:cs="Times New Roman"/>
          <w:sz w:val="22"/>
          <w:szCs w:val="22"/>
        </w:rPr>
        <w:t xml:space="preserve"> (3211</w:t>
      </w:r>
      <w:r w:rsidR="002C0B0D" w:rsidRPr="00FA7F54">
        <w:rPr>
          <w:rFonts w:ascii="Times New Roman" w:hAnsi="Times New Roman" w:cs="Times New Roman"/>
          <w:sz w:val="22"/>
          <w:szCs w:val="22"/>
        </w:rPr>
        <w:t>)</w:t>
      </w:r>
      <w:bookmarkEnd w:id="16"/>
      <w:bookmarkEnd w:id="17"/>
    </w:p>
    <w:p w:rsidR="00C34AE2" w:rsidRPr="00FA7F54" w:rsidRDefault="00C34AE2" w:rsidP="00C34AE2">
      <w:pPr>
        <w:spacing w:line="240" w:lineRule="auto"/>
        <w:jc w:val="both"/>
        <w:rPr>
          <w:rFonts w:ascii="Times New Roman" w:hAnsi="Times New Roman" w:cs="Times New Roman"/>
        </w:rPr>
      </w:pPr>
      <w:r w:rsidRPr="00FA7F54">
        <w:rPr>
          <w:rFonts w:ascii="Times New Roman" w:hAnsi="Times New Roman" w:cs="Times New Roman"/>
        </w:rPr>
        <w:t xml:space="preserve">Prema </w:t>
      </w:r>
      <w:r w:rsidR="00B64314" w:rsidRPr="00FA7F54">
        <w:rPr>
          <w:rFonts w:ascii="Times New Roman" w:hAnsi="Times New Roman" w:cs="Times New Roman"/>
        </w:rPr>
        <w:t xml:space="preserve">podacima </w:t>
      </w:r>
      <w:r w:rsidRPr="00FA7F54">
        <w:rPr>
          <w:rFonts w:ascii="Times New Roman" w:hAnsi="Times New Roman" w:cs="Times New Roman"/>
        </w:rPr>
        <w:t xml:space="preserve">iskazanim u financijskim izvještajima rashodi za službena putovanja u 2013. godini iznosili su </w:t>
      </w:r>
      <w:r w:rsidR="002B5805">
        <w:rPr>
          <w:rFonts w:ascii="Times New Roman" w:hAnsi="Times New Roman" w:cs="Times New Roman"/>
        </w:rPr>
        <w:t>2</w:t>
      </w:r>
      <w:r w:rsidR="00EC6744">
        <w:rPr>
          <w:rFonts w:ascii="Times New Roman" w:hAnsi="Times New Roman" w:cs="Times New Roman"/>
        </w:rPr>
        <w:t>80,7</w:t>
      </w:r>
      <w:r w:rsidRPr="00FA7F54">
        <w:rPr>
          <w:rFonts w:ascii="Times New Roman" w:hAnsi="Times New Roman" w:cs="Times New Roman"/>
        </w:rPr>
        <w:t xml:space="preserve"> mil. kuna, a u 2014. godini </w:t>
      </w:r>
      <w:r w:rsidR="002B5805">
        <w:rPr>
          <w:rFonts w:ascii="Times New Roman" w:hAnsi="Times New Roman" w:cs="Times New Roman"/>
        </w:rPr>
        <w:t>2</w:t>
      </w:r>
      <w:r w:rsidR="00EC6744">
        <w:rPr>
          <w:rFonts w:ascii="Times New Roman" w:hAnsi="Times New Roman" w:cs="Times New Roman"/>
        </w:rPr>
        <w:t>88,1</w:t>
      </w:r>
      <w:r w:rsidRPr="00FA7F54">
        <w:rPr>
          <w:rFonts w:ascii="Times New Roman" w:hAnsi="Times New Roman" w:cs="Times New Roman"/>
        </w:rPr>
        <w:t xml:space="preserve"> mil. kuna. U državnom proračunu za 2015. godinu planirano je 281,7 mil. kuna na</w:t>
      </w:r>
      <w:r w:rsidR="0000437E" w:rsidRPr="00FA7F54">
        <w:rPr>
          <w:rFonts w:ascii="Times New Roman" w:hAnsi="Times New Roman" w:cs="Times New Roman"/>
        </w:rPr>
        <w:t>vedenih rashoda od čega se 158,4</w:t>
      </w:r>
      <w:r w:rsidRPr="00FA7F54">
        <w:rPr>
          <w:rFonts w:ascii="Times New Roman" w:hAnsi="Times New Roman" w:cs="Times New Roman"/>
        </w:rPr>
        <w:t xml:space="preserve"> mil. </w:t>
      </w:r>
      <w:r w:rsidR="002B5805">
        <w:rPr>
          <w:rFonts w:ascii="Times New Roman" w:hAnsi="Times New Roman" w:cs="Times New Roman"/>
        </w:rPr>
        <w:t xml:space="preserve">kuna </w:t>
      </w:r>
      <w:r w:rsidRPr="00FA7F54">
        <w:rPr>
          <w:rFonts w:ascii="Times New Roman" w:hAnsi="Times New Roman" w:cs="Times New Roman"/>
        </w:rPr>
        <w:t>financira iz izvora u limitu.</w:t>
      </w:r>
    </w:p>
    <w:p w:rsidR="00902A6C" w:rsidRPr="00914FAD" w:rsidRDefault="00C34AE2" w:rsidP="00914FAD">
      <w:pPr>
        <w:spacing w:line="240" w:lineRule="auto"/>
        <w:rPr>
          <w:rFonts w:ascii="Times New Roman" w:hAnsi="Times New Roman" w:cs="Times New Roman"/>
        </w:rPr>
      </w:pPr>
      <w:r w:rsidRPr="00FA7F54">
        <w:rPr>
          <w:rFonts w:ascii="Times New Roman" w:hAnsi="Times New Roman" w:cs="Times New Roman"/>
        </w:rPr>
        <w:t>Najveći dio rashoda odnosi se na tijela izvršne vlasti</w:t>
      </w:r>
      <w:r w:rsidR="008A2497" w:rsidRPr="00FA7F54">
        <w:rPr>
          <w:rFonts w:ascii="Times New Roman" w:hAnsi="Times New Roman" w:cs="Times New Roman"/>
        </w:rPr>
        <w:t xml:space="preserve"> i visoko obrazovanje</w:t>
      </w:r>
      <w:r w:rsidR="00FA7F54">
        <w:rPr>
          <w:rFonts w:ascii="Times New Roman" w:hAnsi="Times New Roman" w:cs="Times New Roman"/>
        </w:rPr>
        <w:t xml:space="preserve"> te agencije i ustanove u znanosti</w:t>
      </w:r>
      <w:r w:rsidRPr="00FA7F54">
        <w:rPr>
          <w:rFonts w:ascii="Times New Roman" w:hAnsi="Times New Roman" w:cs="Times New Roman"/>
        </w:rPr>
        <w:t>.</w:t>
      </w:r>
    </w:p>
    <w:p w:rsidR="00676A55" w:rsidRPr="002B5805" w:rsidRDefault="009835A2" w:rsidP="006B7B79">
      <w:pPr>
        <w:pStyle w:val="Opisslike"/>
        <w:spacing w:after="0"/>
        <w:jc w:val="both"/>
        <w:rPr>
          <w:rFonts w:ascii="Times New Roman" w:hAnsi="Times New Roman" w:cs="Times New Roman"/>
          <w:sz w:val="20"/>
          <w:szCs w:val="20"/>
        </w:rPr>
      </w:pPr>
      <w:bookmarkStart w:id="18" w:name="_Toc436402253"/>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6</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 xml:space="preserve">: </w:t>
      </w:r>
      <w:r w:rsidR="00FA7F54" w:rsidRPr="006B7B79">
        <w:rPr>
          <w:rFonts w:ascii="Times New Roman" w:hAnsi="Times New Roman" w:cs="Times New Roman"/>
          <w:sz w:val="20"/>
          <w:szCs w:val="20"/>
        </w:rPr>
        <w:t xml:space="preserve">Službena putovanja prema podacima iskazanim u financijskim izvještajima proračunskih i izvanproračunskih korisnika za 2013. i 2014. </w:t>
      </w:r>
      <w:r w:rsidR="00984E0D" w:rsidRPr="006B7B79">
        <w:rPr>
          <w:rFonts w:ascii="Times New Roman" w:hAnsi="Times New Roman" w:cs="Times New Roman"/>
          <w:sz w:val="20"/>
          <w:szCs w:val="20"/>
        </w:rPr>
        <w:t>g</w:t>
      </w:r>
      <w:r w:rsidR="00FA7F54" w:rsidRPr="006B7B79">
        <w:rPr>
          <w:rFonts w:ascii="Times New Roman" w:hAnsi="Times New Roman" w:cs="Times New Roman"/>
          <w:sz w:val="20"/>
          <w:szCs w:val="20"/>
        </w:rPr>
        <w:t>odinu</w:t>
      </w:r>
      <w:r w:rsidR="00984E0D" w:rsidRPr="006B7B79">
        <w:rPr>
          <w:rFonts w:ascii="Times New Roman" w:hAnsi="Times New Roman" w:cs="Times New Roman"/>
          <w:sz w:val="20"/>
          <w:szCs w:val="20"/>
        </w:rPr>
        <w:t xml:space="preserve"> te planu Državnog proračuna za 2015. godinu</w:t>
      </w:r>
      <w:bookmarkEnd w:id="18"/>
    </w:p>
    <w:p w:rsidR="009E57F2" w:rsidRPr="00FA7F54" w:rsidRDefault="00877395" w:rsidP="00C83540">
      <w:pPr>
        <w:spacing w:line="240" w:lineRule="auto"/>
        <w:jc w:val="both"/>
        <w:rPr>
          <w:rFonts w:ascii="Times New Roman" w:hAnsi="Times New Roman" w:cs="Times New Roman"/>
        </w:rPr>
      </w:pPr>
      <w:r w:rsidRPr="00877395">
        <w:rPr>
          <w:noProof/>
          <w:lang w:eastAsia="hr-HR"/>
        </w:rPr>
        <w:drawing>
          <wp:inline distT="0" distB="0" distL="0" distR="0" wp14:anchorId="21082B1F" wp14:editId="516B1569">
            <wp:extent cx="5524500" cy="2177757"/>
            <wp:effectExtent l="0" t="0" r="0"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2177757"/>
                    </a:xfrm>
                    <a:prstGeom prst="rect">
                      <a:avLst/>
                    </a:prstGeom>
                    <a:noFill/>
                    <a:ln>
                      <a:noFill/>
                    </a:ln>
                  </pic:spPr>
                </pic:pic>
              </a:graphicData>
            </a:graphic>
          </wp:inline>
        </w:drawing>
      </w:r>
    </w:p>
    <w:p w:rsidR="00C02501" w:rsidRDefault="004F1DB2" w:rsidP="00C02501">
      <w:pPr>
        <w:spacing w:after="0" w:line="240" w:lineRule="auto"/>
        <w:jc w:val="both"/>
        <w:rPr>
          <w:rFonts w:ascii="Times New Roman" w:hAnsi="Times New Roman" w:cs="Times New Roman"/>
        </w:rPr>
      </w:pPr>
      <w:r w:rsidRPr="00FA7F54">
        <w:rPr>
          <w:rFonts w:ascii="Times New Roman" w:hAnsi="Times New Roman" w:cs="Times New Roman"/>
        </w:rPr>
        <w:lastRenderedPageBreak/>
        <w:t>Iz analize rashoda za službena putovanja svih proračunskih korisnika proizlazi da je prosječni mjesečni trošak službenih putovanja</w:t>
      </w:r>
      <w:r w:rsidR="00022BA3">
        <w:rPr>
          <w:rFonts w:ascii="Times New Roman" w:hAnsi="Times New Roman" w:cs="Times New Roman"/>
        </w:rPr>
        <w:t xml:space="preserve"> po zaposleniku iznosio 164 kune u 2013. godini odnosno 168 kuna</w:t>
      </w:r>
      <w:r w:rsidRPr="00FA7F54">
        <w:rPr>
          <w:rFonts w:ascii="Times New Roman" w:hAnsi="Times New Roman" w:cs="Times New Roman"/>
        </w:rPr>
        <w:t xml:space="preserve"> u 2014. godini prema podacima iz financijskih izvještaja. Najmanji prosječni mjesečni trošak službenih putovanja po zaposleniku primjetan je kod</w:t>
      </w:r>
      <w:r w:rsidR="005F6A79">
        <w:rPr>
          <w:rFonts w:ascii="Times New Roman" w:hAnsi="Times New Roman" w:cs="Times New Roman"/>
        </w:rPr>
        <w:t xml:space="preserve"> izvanproračunskih korisnika, u sustavu socijalne skrbi,</w:t>
      </w:r>
      <w:r w:rsidRPr="00FA7F54">
        <w:rPr>
          <w:rFonts w:ascii="Times New Roman" w:hAnsi="Times New Roman" w:cs="Times New Roman"/>
        </w:rPr>
        <w:t xml:space="preserve"> ureda državne uprave u županijama, tijela sudbene vlasti i zdravstvenih ustanova u državnom vlasništvu. </w:t>
      </w:r>
    </w:p>
    <w:p w:rsidR="009835A2" w:rsidRPr="00FA7F54" w:rsidRDefault="004F1DB2" w:rsidP="00914FAD">
      <w:pPr>
        <w:spacing w:line="240" w:lineRule="auto"/>
        <w:jc w:val="both"/>
        <w:rPr>
          <w:rFonts w:ascii="Times New Roman" w:hAnsi="Times New Roman" w:cs="Times New Roman"/>
        </w:rPr>
      </w:pPr>
      <w:r w:rsidRPr="00FA7F54">
        <w:rPr>
          <w:rFonts w:ascii="Times New Roman" w:hAnsi="Times New Roman" w:cs="Times New Roman"/>
        </w:rPr>
        <w:t xml:space="preserve">Povećani prosjeci uočavaju se kod </w:t>
      </w:r>
      <w:r w:rsidR="005F6A79" w:rsidRPr="00FA7F54">
        <w:rPr>
          <w:rFonts w:ascii="Times New Roman" w:hAnsi="Times New Roman" w:cs="Times New Roman"/>
        </w:rPr>
        <w:t>agencija</w:t>
      </w:r>
      <w:r w:rsidRPr="00FA7F54">
        <w:rPr>
          <w:rFonts w:ascii="Times New Roman" w:hAnsi="Times New Roman" w:cs="Times New Roman"/>
        </w:rPr>
        <w:t>,</w:t>
      </w:r>
      <w:r w:rsidR="00A51D1B">
        <w:rPr>
          <w:rFonts w:ascii="Times New Roman" w:hAnsi="Times New Roman" w:cs="Times New Roman"/>
        </w:rPr>
        <w:t xml:space="preserve"> Hrvatskog sabora,</w:t>
      </w:r>
      <w:r w:rsidR="00C02501">
        <w:rPr>
          <w:rFonts w:ascii="Times New Roman" w:hAnsi="Times New Roman" w:cs="Times New Roman"/>
        </w:rPr>
        <w:t xml:space="preserve"> ustanova u kulturi,</w:t>
      </w:r>
      <w:r w:rsidR="005F6A79">
        <w:rPr>
          <w:rFonts w:ascii="Times New Roman" w:hAnsi="Times New Roman" w:cs="Times New Roman"/>
        </w:rPr>
        <w:t xml:space="preserve"> </w:t>
      </w:r>
      <w:r w:rsidR="005F6A79" w:rsidRPr="00FA7F54">
        <w:rPr>
          <w:rFonts w:ascii="Times New Roman" w:hAnsi="Times New Roman" w:cs="Times New Roman"/>
        </w:rPr>
        <w:t>ostalih državnih tijela</w:t>
      </w:r>
      <w:r w:rsidR="00C02501">
        <w:rPr>
          <w:rFonts w:ascii="Times New Roman" w:hAnsi="Times New Roman" w:cs="Times New Roman"/>
        </w:rPr>
        <w:t xml:space="preserve"> i Ureda predsjednika čiji se rashodi za službena putovanja većim dijelom financiraju iz državnog proračuna.</w:t>
      </w:r>
      <w:r w:rsidR="00402647">
        <w:rPr>
          <w:rFonts w:ascii="Times New Roman" w:hAnsi="Times New Roman" w:cs="Times New Roman"/>
        </w:rPr>
        <w:t xml:space="preserve"> </w:t>
      </w:r>
      <w:r w:rsidRPr="00FA7F54">
        <w:rPr>
          <w:rFonts w:ascii="Times New Roman" w:hAnsi="Times New Roman" w:cs="Times New Roman"/>
        </w:rPr>
        <w:t>Kod proračunskih korisnika u visokom obrazovanju, znanosti i zaštiti prirode, troškovi službenih putovanja se u najvećoj mjeri financiraju iz vlastitih i namjenskih prihoda.</w:t>
      </w:r>
    </w:p>
    <w:p w:rsidR="00676A55" w:rsidRPr="00370A57" w:rsidRDefault="009835A2" w:rsidP="00914FAD">
      <w:pPr>
        <w:pStyle w:val="Opisslike"/>
        <w:spacing w:after="0"/>
        <w:jc w:val="both"/>
        <w:rPr>
          <w:rFonts w:ascii="Times New Roman" w:hAnsi="Times New Roman" w:cs="Times New Roman"/>
          <w:sz w:val="20"/>
          <w:szCs w:val="20"/>
        </w:rPr>
      </w:pPr>
      <w:bookmarkStart w:id="19" w:name="_Toc436402254"/>
      <w:r w:rsidRPr="00370A57">
        <w:rPr>
          <w:rFonts w:ascii="Times New Roman" w:hAnsi="Times New Roman" w:cs="Times New Roman"/>
          <w:sz w:val="20"/>
          <w:szCs w:val="20"/>
        </w:rPr>
        <w:t xml:space="preserve">Tabela </w:t>
      </w:r>
      <w:r w:rsidR="002D0343" w:rsidRPr="00370A57">
        <w:rPr>
          <w:rFonts w:ascii="Times New Roman" w:hAnsi="Times New Roman" w:cs="Times New Roman"/>
          <w:sz w:val="20"/>
          <w:szCs w:val="20"/>
        </w:rPr>
        <w:fldChar w:fldCharType="begin"/>
      </w:r>
      <w:r w:rsidRPr="00370A57">
        <w:rPr>
          <w:rFonts w:ascii="Times New Roman" w:hAnsi="Times New Roman" w:cs="Times New Roman"/>
          <w:sz w:val="20"/>
          <w:szCs w:val="20"/>
        </w:rPr>
        <w:instrText xml:space="preserve"> SEQ Tabela \* ARABIC </w:instrText>
      </w:r>
      <w:r w:rsidR="002D0343" w:rsidRPr="00370A57">
        <w:rPr>
          <w:rFonts w:ascii="Times New Roman" w:hAnsi="Times New Roman" w:cs="Times New Roman"/>
          <w:sz w:val="20"/>
          <w:szCs w:val="20"/>
        </w:rPr>
        <w:fldChar w:fldCharType="separate"/>
      </w:r>
      <w:r w:rsidR="00F50808">
        <w:rPr>
          <w:rFonts w:ascii="Times New Roman" w:hAnsi="Times New Roman" w:cs="Times New Roman"/>
          <w:noProof/>
          <w:sz w:val="20"/>
          <w:szCs w:val="20"/>
        </w:rPr>
        <w:t>7</w:t>
      </w:r>
      <w:r w:rsidR="002D0343" w:rsidRPr="00370A57">
        <w:rPr>
          <w:rFonts w:ascii="Times New Roman" w:hAnsi="Times New Roman" w:cs="Times New Roman"/>
          <w:sz w:val="20"/>
          <w:szCs w:val="20"/>
        </w:rPr>
        <w:fldChar w:fldCharType="end"/>
      </w:r>
      <w:r w:rsidR="00D10EFB" w:rsidRPr="00370A57">
        <w:rPr>
          <w:rFonts w:ascii="Times New Roman" w:hAnsi="Times New Roman" w:cs="Times New Roman"/>
          <w:sz w:val="20"/>
          <w:szCs w:val="20"/>
        </w:rPr>
        <w:t>: Službena putovanja prema podacima iskazanim u državnom proračunu – izvršenje za 2014. (u mil.</w:t>
      </w:r>
      <w:r w:rsidR="00370A57">
        <w:rPr>
          <w:rFonts w:ascii="Times New Roman" w:hAnsi="Times New Roman" w:cs="Times New Roman"/>
          <w:sz w:val="20"/>
          <w:szCs w:val="20"/>
        </w:rPr>
        <w:t xml:space="preserve"> kuna</w:t>
      </w:r>
      <w:r w:rsidR="00D10EFB" w:rsidRPr="00370A57">
        <w:rPr>
          <w:rFonts w:ascii="Times New Roman" w:hAnsi="Times New Roman" w:cs="Times New Roman"/>
          <w:sz w:val="20"/>
          <w:szCs w:val="20"/>
        </w:rPr>
        <w:t>)</w:t>
      </w:r>
      <w:bookmarkEnd w:id="19"/>
    </w:p>
    <w:tbl>
      <w:tblPr>
        <w:tblW w:w="9390" w:type="dxa"/>
        <w:tblInd w:w="93" w:type="dxa"/>
        <w:tblLook w:val="04A0" w:firstRow="1" w:lastRow="0" w:firstColumn="1" w:lastColumn="0" w:noHBand="0" w:noVBand="1"/>
      </w:tblPr>
      <w:tblGrid>
        <w:gridCol w:w="1270"/>
        <w:gridCol w:w="1155"/>
        <w:gridCol w:w="1068"/>
        <w:gridCol w:w="1026"/>
        <w:gridCol w:w="990"/>
        <w:gridCol w:w="1026"/>
        <w:gridCol w:w="990"/>
        <w:gridCol w:w="1026"/>
        <w:gridCol w:w="910"/>
      </w:tblGrid>
      <w:tr w:rsidR="00950FE1" w:rsidRPr="00D10EFB" w:rsidTr="00950FE1">
        <w:trPr>
          <w:trHeight w:val="1110"/>
        </w:trPr>
        <w:tc>
          <w:tcPr>
            <w:tcW w:w="1270"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950FE1" w:rsidRPr="00D10EFB" w:rsidRDefault="00950FE1" w:rsidP="00976C42">
            <w:pPr>
              <w:spacing w:after="0" w:line="240" w:lineRule="auto"/>
              <w:jc w:val="center"/>
              <w:rPr>
                <w:rFonts w:ascii="Arial" w:eastAsia="Times New Roman" w:hAnsi="Arial" w:cs="Arial"/>
                <w:b/>
                <w:bCs/>
                <w:sz w:val="16"/>
                <w:szCs w:val="16"/>
                <w:lang w:eastAsia="hr-HR"/>
              </w:rPr>
            </w:pPr>
            <w:r w:rsidRPr="00D10EFB">
              <w:rPr>
                <w:rFonts w:ascii="Arial" w:eastAsia="Times New Roman" w:hAnsi="Arial" w:cs="Arial"/>
                <w:b/>
                <w:bCs/>
                <w:sz w:val="16"/>
                <w:szCs w:val="16"/>
                <w:lang w:eastAsia="hr-HR"/>
              </w:rPr>
              <w:t>Izvršenje 2014.</w:t>
            </w:r>
          </w:p>
        </w:tc>
        <w:tc>
          <w:tcPr>
            <w:tcW w:w="1155" w:type="dxa"/>
            <w:tcBorders>
              <w:top w:val="single" w:sz="4" w:space="0" w:color="000080"/>
              <w:left w:val="nil"/>
              <w:bottom w:val="single" w:sz="4" w:space="0" w:color="000080"/>
              <w:right w:val="single" w:sz="4" w:space="0" w:color="000080"/>
            </w:tcBorders>
            <w:shd w:val="clear" w:color="000000" w:fill="DCE6F1"/>
            <w:vAlign w:val="center"/>
            <w:hideMark/>
          </w:tcPr>
          <w:p w:rsidR="00950FE1" w:rsidRPr="00D10EFB" w:rsidRDefault="00950FE1" w:rsidP="00976C42">
            <w:pPr>
              <w:spacing w:after="0" w:line="240" w:lineRule="auto"/>
              <w:jc w:val="center"/>
              <w:rPr>
                <w:rFonts w:ascii="Arial" w:eastAsia="Times New Roman" w:hAnsi="Arial" w:cs="Arial"/>
                <w:b/>
                <w:sz w:val="16"/>
                <w:szCs w:val="16"/>
                <w:lang w:eastAsia="hr-HR"/>
              </w:rPr>
            </w:pPr>
            <w:r w:rsidRPr="00D10EFB">
              <w:rPr>
                <w:rFonts w:ascii="Arial" w:eastAsia="Times New Roman" w:hAnsi="Arial" w:cs="Arial"/>
                <w:b/>
                <w:sz w:val="16"/>
                <w:szCs w:val="16"/>
                <w:lang w:eastAsia="hr-HR"/>
              </w:rPr>
              <w:t>Službena putovanja</w:t>
            </w:r>
          </w:p>
        </w:tc>
        <w:tc>
          <w:tcPr>
            <w:tcW w:w="1068" w:type="dxa"/>
            <w:tcBorders>
              <w:top w:val="single" w:sz="4" w:space="0" w:color="000080"/>
              <w:left w:val="nil"/>
              <w:bottom w:val="single" w:sz="4" w:space="0" w:color="000080"/>
              <w:right w:val="single" w:sz="4" w:space="0" w:color="000080"/>
            </w:tcBorders>
            <w:shd w:val="clear" w:color="000000" w:fill="DCE6F1"/>
            <w:vAlign w:val="center"/>
            <w:hideMark/>
          </w:tcPr>
          <w:p w:rsidR="00950FE1" w:rsidRPr="00D10EFB" w:rsidRDefault="00950FE1" w:rsidP="00976C42">
            <w:pPr>
              <w:spacing w:after="0" w:line="240" w:lineRule="auto"/>
              <w:jc w:val="center"/>
              <w:rPr>
                <w:rFonts w:ascii="Arial" w:eastAsia="Times New Roman" w:hAnsi="Arial" w:cs="Arial"/>
                <w:sz w:val="16"/>
                <w:szCs w:val="16"/>
                <w:lang w:eastAsia="hr-HR"/>
              </w:rPr>
            </w:pPr>
            <w:r w:rsidRPr="00D10EFB">
              <w:rPr>
                <w:rFonts w:ascii="Arial" w:eastAsia="Times New Roman" w:hAnsi="Arial" w:cs="Arial"/>
                <w:sz w:val="16"/>
                <w:szCs w:val="16"/>
                <w:lang w:eastAsia="hr-HR"/>
              </w:rPr>
              <w:t>Dnevnice za službeni put u zemlji</w:t>
            </w:r>
          </w:p>
        </w:tc>
        <w:tc>
          <w:tcPr>
            <w:tcW w:w="1013" w:type="dxa"/>
            <w:tcBorders>
              <w:top w:val="single" w:sz="4" w:space="0" w:color="000080"/>
              <w:left w:val="nil"/>
              <w:bottom w:val="single" w:sz="4" w:space="0" w:color="000080"/>
              <w:right w:val="single" w:sz="4" w:space="0" w:color="000080"/>
            </w:tcBorders>
            <w:shd w:val="clear" w:color="000000" w:fill="DCE6F1"/>
            <w:vAlign w:val="center"/>
            <w:hideMark/>
          </w:tcPr>
          <w:p w:rsidR="00950FE1" w:rsidRPr="00D10EFB" w:rsidRDefault="00950FE1" w:rsidP="00976C42">
            <w:pPr>
              <w:spacing w:after="0" w:line="240" w:lineRule="auto"/>
              <w:jc w:val="center"/>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Dnevnice za službeni put u inozemstvu</w:t>
            </w:r>
          </w:p>
        </w:tc>
        <w:tc>
          <w:tcPr>
            <w:tcW w:w="978" w:type="dxa"/>
            <w:tcBorders>
              <w:top w:val="single" w:sz="4" w:space="0" w:color="000080"/>
              <w:left w:val="nil"/>
              <w:bottom w:val="single" w:sz="4" w:space="0" w:color="000080"/>
              <w:right w:val="single" w:sz="4" w:space="0" w:color="000080"/>
            </w:tcBorders>
            <w:shd w:val="clear" w:color="000000" w:fill="DCE6F1"/>
            <w:vAlign w:val="center"/>
            <w:hideMark/>
          </w:tcPr>
          <w:p w:rsidR="00950FE1" w:rsidRPr="00D10EFB" w:rsidRDefault="00950FE1" w:rsidP="00976C42">
            <w:pPr>
              <w:spacing w:after="0" w:line="240" w:lineRule="auto"/>
              <w:jc w:val="center"/>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Naknade za smještaj na službenom putu u zemlji</w:t>
            </w:r>
          </w:p>
        </w:tc>
        <w:tc>
          <w:tcPr>
            <w:tcW w:w="1013" w:type="dxa"/>
            <w:tcBorders>
              <w:top w:val="single" w:sz="4" w:space="0" w:color="000080"/>
              <w:left w:val="nil"/>
              <w:bottom w:val="single" w:sz="4" w:space="0" w:color="000080"/>
              <w:right w:val="single" w:sz="4" w:space="0" w:color="000080"/>
            </w:tcBorders>
            <w:shd w:val="clear" w:color="000000" w:fill="DCE6F1"/>
            <w:vAlign w:val="center"/>
            <w:hideMark/>
          </w:tcPr>
          <w:p w:rsidR="00950FE1" w:rsidRPr="00D10EFB" w:rsidRDefault="00950FE1" w:rsidP="00976C42">
            <w:pPr>
              <w:spacing w:after="0" w:line="240" w:lineRule="auto"/>
              <w:jc w:val="center"/>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Naknade za smještaj na službenom putu u inozemstvu</w:t>
            </w:r>
          </w:p>
        </w:tc>
        <w:tc>
          <w:tcPr>
            <w:tcW w:w="978" w:type="dxa"/>
            <w:tcBorders>
              <w:top w:val="single" w:sz="4" w:space="0" w:color="000080"/>
              <w:left w:val="nil"/>
              <w:bottom w:val="single" w:sz="4" w:space="0" w:color="000080"/>
              <w:right w:val="single" w:sz="4" w:space="0" w:color="000080"/>
            </w:tcBorders>
            <w:shd w:val="clear" w:color="000000" w:fill="DCE6F1"/>
            <w:vAlign w:val="center"/>
            <w:hideMark/>
          </w:tcPr>
          <w:p w:rsidR="00950FE1" w:rsidRPr="00D10EFB" w:rsidRDefault="00950FE1" w:rsidP="00976C42">
            <w:pPr>
              <w:spacing w:after="0" w:line="240" w:lineRule="auto"/>
              <w:jc w:val="center"/>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Naknade za prijevoz na službenom putu u zemlji</w:t>
            </w:r>
          </w:p>
        </w:tc>
        <w:tc>
          <w:tcPr>
            <w:tcW w:w="1013" w:type="dxa"/>
            <w:tcBorders>
              <w:top w:val="single" w:sz="4" w:space="0" w:color="000080"/>
              <w:left w:val="nil"/>
              <w:bottom w:val="single" w:sz="4" w:space="0" w:color="000080"/>
              <w:right w:val="single" w:sz="4" w:space="0" w:color="000080"/>
            </w:tcBorders>
            <w:shd w:val="clear" w:color="000000" w:fill="DCE6F1"/>
            <w:vAlign w:val="center"/>
            <w:hideMark/>
          </w:tcPr>
          <w:p w:rsidR="00950FE1" w:rsidRPr="00D10EFB" w:rsidRDefault="00950FE1" w:rsidP="00976C42">
            <w:pPr>
              <w:spacing w:after="0" w:line="240" w:lineRule="auto"/>
              <w:jc w:val="center"/>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Naknade za prijevoz na službenom putu u inozemstvu</w:t>
            </w:r>
          </w:p>
        </w:tc>
        <w:tc>
          <w:tcPr>
            <w:tcW w:w="902" w:type="dxa"/>
            <w:tcBorders>
              <w:top w:val="single" w:sz="4" w:space="0" w:color="000080"/>
              <w:left w:val="nil"/>
              <w:bottom w:val="single" w:sz="4" w:space="0" w:color="000080"/>
              <w:right w:val="single" w:sz="4" w:space="0" w:color="000080"/>
            </w:tcBorders>
            <w:shd w:val="clear" w:color="000000" w:fill="DCE6F1"/>
            <w:vAlign w:val="center"/>
            <w:hideMark/>
          </w:tcPr>
          <w:p w:rsidR="00950FE1" w:rsidRPr="00D10EFB" w:rsidRDefault="00950FE1" w:rsidP="00976C42">
            <w:pPr>
              <w:spacing w:after="0" w:line="240" w:lineRule="auto"/>
              <w:jc w:val="center"/>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Ostali rashodi za službena putovanja</w:t>
            </w:r>
          </w:p>
        </w:tc>
      </w:tr>
      <w:tr w:rsidR="00950FE1" w:rsidRPr="00D10EFB" w:rsidTr="00950FE1">
        <w:trPr>
          <w:trHeight w:val="300"/>
        </w:trPr>
        <w:tc>
          <w:tcPr>
            <w:tcW w:w="1270" w:type="dxa"/>
            <w:tcBorders>
              <w:top w:val="nil"/>
              <w:left w:val="single" w:sz="4" w:space="0" w:color="000080"/>
              <w:bottom w:val="single" w:sz="4" w:space="0" w:color="000080"/>
              <w:right w:val="single" w:sz="4" w:space="0" w:color="000080"/>
            </w:tcBorders>
            <w:shd w:val="clear" w:color="000000" w:fill="DCE6F1"/>
            <w:noWrap/>
            <w:vAlign w:val="center"/>
            <w:hideMark/>
          </w:tcPr>
          <w:p w:rsidR="00950FE1" w:rsidRPr="00D10EFB" w:rsidRDefault="00950FE1" w:rsidP="00D10EFB">
            <w:pPr>
              <w:spacing w:after="0" w:line="240" w:lineRule="auto"/>
              <w:ind w:firstLineChars="200" w:firstLine="320"/>
              <w:rPr>
                <w:rFonts w:ascii="Arial" w:eastAsia="Times New Roman" w:hAnsi="Arial" w:cs="Arial"/>
                <w:sz w:val="16"/>
                <w:szCs w:val="16"/>
                <w:lang w:eastAsia="hr-HR"/>
              </w:rPr>
            </w:pPr>
            <w:r w:rsidRPr="00D10EFB">
              <w:rPr>
                <w:rFonts w:ascii="Arial" w:eastAsia="Times New Roman" w:hAnsi="Arial" w:cs="Arial"/>
                <w:sz w:val="16"/>
                <w:szCs w:val="16"/>
                <w:lang w:eastAsia="hr-HR"/>
              </w:rPr>
              <w:t>- Ukupno</w:t>
            </w:r>
          </w:p>
        </w:tc>
        <w:tc>
          <w:tcPr>
            <w:tcW w:w="1155" w:type="dxa"/>
            <w:tcBorders>
              <w:top w:val="nil"/>
              <w:left w:val="nil"/>
              <w:bottom w:val="single" w:sz="4" w:space="0" w:color="000080"/>
              <w:right w:val="single" w:sz="4" w:space="0" w:color="000080"/>
            </w:tcBorders>
            <w:shd w:val="clear" w:color="000000" w:fill="DCE6F1"/>
            <w:noWrap/>
            <w:vAlign w:val="center"/>
            <w:hideMark/>
          </w:tcPr>
          <w:p w:rsidR="00950FE1" w:rsidRPr="00D10EFB" w:rsidRDefault="00950FE1" w:rsidP="00950FE1">
            <w:pPr>
              <w:spacing w:after="0" w:line="240" w:lineRule="auto"/>
              <w:jc w:val="right"/>
              <w:rPr>
                <w:rFonts w:ascii="Arial" w:eastAsia="Times New Roman" w:hAnsi="Arial" w:cs="Arial"/>
                <w:b/>
                <w:color w:val="000000"/>
                <w:sz w:val="16"/>
                <w:szCs w:val="16"/>
                <w:lang w:eastAsia="hr-HR"/>
              </w:rPr>
            </w:pPr>
            <w:r w:rsidRPr="00D10EFB">
              <w:rPr>
                <w:rFonts w:ascii="Arial" w:eastAsia="Times New Roman" w:hAnsi="Arial" w:cs="Arial"/>
                <w:b/>
                <w:color w:val="000000"/>
                <w:sz w:val="16"/>
                <w:szCs w:val="16"/>
                <w:lang w:eastAsia="hr-HR"/>
              </w:rPr>
              <w:t>169,542</w:t>
            </w:r>
          </w:p>
        </w:tc>
        <w:tc>
          <w:tcPr>
            <w:tcW w:w="1068" w:type="dxa"/>
            <w:tcBorders>
              <w:top w:val="nil"/>
              <w:left w:val="nil"/>
              <w:bottom w:val="single" w:sz="4" w:space="0" w:color="000080"/>
              <w:right w:val="single" w:sz="4" w:space="0" w:color="000080"/>
            </w:tcBorders>
            <w:shd w:val="clear" w:color="000000" w:fill="DCE6F1"/>
            <w:noWrap/>
            <w:vAlign w:val="center"/>
            <w:hideMark/>
          </w:tcPr>
          <w:p w:rsidR="00950FE1" w:rsidRPr="00D10EFB" w:rsidRDefault="00950FE1" w:rsidP="00950FE1">
            <w:pPr>
              <w:spacing w:after="0" w:line="240" w:lineRule="auto"/>
              <w:jc w:val="right"/>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40,923</w:t>
            </w:r>
          </w:p>
        </w:tc>
        <w:tc>
          <w:tcPr>
            <w:tcW w:w="1013" w:type="dxa"/>
            <w:tcBorders>
              <w:top w:val="nil"/>
              <w:left w:val="nil"/>
              <w:bottom w:val="single" w:sz="4" w:space="0" w:color="000080"/>
              <w:right w:val="single" w:sz="4" w:space="0" w:color="000080"/>
            </w:tcBorders>
            <w:shd w:val="clear" w:color="000000" w:fill="DCE6F1"/>
            <w:noWrap/>
            <w:vAlign w:val="center"/>
            <w:hideMark/>
          </w:tcPr>
          <w:p w:rsidR="00950FE1" w:rsidRPr="00D10EFB" w:rsidRDefault="00950FE1" w:rsidP="00950FE1">
            <w:pPr>
              <w:spacing w:after="0" w:line="240" w:lineRule="auto"/>
              <w:jc w:val="right"/>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38,334</w:t>
            </w:r>
          </w:p>
        </w:tc>
        <w:tc>
          <w:tcPr>
            <w:tcW w:w="978" w:type="dxa"/>
            <w:tcBorders>
              <w:top w:val="nil"/>
              <w:left w:val="nil"/>
              <w:bottom w:val="single" w:sz="4" w:space="0" w:color="000080"/>
              <w:right w:val="single" w:sz="4" w:space="0" w:color="000080"/>
            </w:tcBorders>
            <w:shd w:val="clear" w:color="000000" w:fill="DCE6F1"/>
            <w:noWrap/>
            <w:vAlign w:val="center"/>
            <w:hideMark/>
          </w:tcPr>
          <w:p w:rsidR="00950FE1" w:rsidRPr="00D10EFB" w:rsidRDefault="00950FE1" w:rsidP="00950FE1">
            <w:pPr>
              <w:spacing w:after="0" w:line="240" w:lineRule="auto"/>
              <w:jc w:val="right"/>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12,585</w:t>
            </w:r>
          </w:p>
        </w:tc>
        <w:tc>
          <w:tcPr>
            <w:tcW w:w="1013" w:type="dxa"/>
            <w:tcBorders>
              <w:top w:val="nil"/>
              <w:left w:val="nil"/>
              <w:bottom w:val="single" w:sz="4" w:space="0" w:color="000080"/>
              <w:right w:val="single" w:sz="4" w:space="0" w:color="000080"/>
            </w:tcBorders>
            <w:shd w:val="clear" w:color="000000" w:fill="DCE6F1"/>
            <w:noWrap/>
            <w:vAlign w:val="center"/>
            <w:hideMark/>
          </w:tcPr>
          <w:p w:rsidR="00950FE1" w:rsidRPr="00D10EFB" w:rsidRDefault="00950FE1" w:rsidP="00950FE1">
            <w:pPr>
              <w:spacing w:after="0" w:line="240" w:lineRule="auto"/>
              <w:jc w:val="right"/>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19,123</w:t>
            </w:r>
          </w:p>
        </w:tc>
        <w:tc>
          <w:tcPr>
            <w:tcW w:w="978" w:type="dxa"/>
            <w:tcBorders>
              <w:top w:val="nil"/>
              <w:left w:val="nil"/>
              <w:bottom w:val="single" w:sz="4" w:space="0" w:color="000080"/>
              <w:right w:val="single" w:sz="4" w:space="0" w:color="000080"/>
            </w:tcBorders>
            <w:shd w:val="clear" w:color="000000" w:fill="DCE6F1"/>
            <w:noWrap/>
            <w:vAlign w:val="center"/>
            <w:hideMark/>
          </w:tcPr>
          <w:p w:rsidR="00950FE1" w:rsidRPr="00D10EFB" w:rsidRDefault="00950FE1" w:rsidP="00950FE1">
            <w:pPr>
              <w:spacing w:after="0" w:line="240" w:lineRule="auto"/>
              <w:jc w:val="right"/>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13,717</w:t>
            </w:r>
          </w:p>
        </w:tc>
        <w:tc>
          <w:tcPr>
            <w:tcW w:w="1013" w:type="dxa"/>
            <w:tcBorders>
              <w:top w:val="nil"/>
              <w:left w:val="nil"/>
              <w:bottom w:val="single" w:sz="4" w:space="0" w:color="000080"/>
              <w:right w:val="single" w:sz="4" w:space="0" w:color="000080"/>
            </w:tcBorders>
            <w:shd w:val="clear" w:color="000000" w:fill="DCE6F1"/>
            <w:noWrap/>
            <w:vAlign w:val="center"/>
            <w:hideMark/>
          </w:tcPr>
          <w:p w:rsidR="00950FE1" w:rsidRPr="00D10EFB" w:rsidRDefault="00950FE1" w:rsidP="00950FE1">
            <w:pPr>
              <w:spacing w:after="0" w:line="240" w:lineRule="auto"/>
              <w:jc w:val="right"/>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27,660</w:t>
            </w:r>
          </w:p>
        </w:tc>
        <w:tc>
          <w:tcPr>
            <w:tcW w:w="902" w:type="dxa"/>
            <w:tcBorders>
              <w:top w:val="nil"/>
              <w:left w:val="nil"/>
              <w:bottom w:val="single" w:sz="4" w:space="0" w:color="000080"/>
              <w:right w:val="single" w:sz="4" w:space="0" w:color="000080"/>
            </w:tcBorders>
            <w:shd w:val="clear" w:color="000000" w:fill="DCE6F1"/>
            <w:noWrap/>
            <w:vAlign w:val="center"/>
            <w:hideMark/>
          </w:tcPr>
          <w:p w:rsidR="00950FE1" w:rsidRPr="00D10EFB" w:rsidRDefault="00950FE1" w:rsidP="00950FE1">
            <w:pPr>
              <w:spacing w:after="0" w:line="240" w:lineRule="auto"/>
              <w:jc w:val="right"/>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17,200</w:t>
            </w:r>
          </w:p>
        </w:tc>
      </w:tr>
      <w:tr w:rsidR="00950FE1" w:rsidRPr="00D10EFB" w:rsidTr="00950FE1">
        <w:trPr>
          <w:trHeight w:val="300"/>
        </w:trPr>
        <w:tc>
          <w:tcPr>
            <w:tcW w:w="1270" w:type="dxa"/>
            <w:tcBorders>
              <w:top w:val="nil"/>
              <w:left w:val="single" w:sz="4" w:space="0" w:color="000080"/>
              <w:bottom w:val="single" w:sz="4" w:space="0" w:color="000080"/>
              <w:right w:val="single" w:sz="4" w:space="0" w:color="000080"/>
            </w:tcBorders>
            <w:shd w:val="clear" w:color="auto" w:fill="auto"/>
            <w:noWrap/>
            <w:vAlign w:val="center"/>
            <w:hideMark/>
          </w:tcPr>
          <w:p w:rsidR="00950FE1" w:rsidRPr="00D10EFB" w:rsidRDefault="00950FE1" w:rsidP="00D10EFB">
            <w:pPr>
              <w:spacing w:after="0" w:line="240" w:lineRule="auto"/>
              <w:ind w:firstLineChars="200" w:firstLine="320"/>
              <w:rPr>
                <w:rFonts w:ascii="Arial" w:eastAsia="Times New Roman" w:hAnsi="Arial" w:cs="Arial"/>
                <w:sz w:val="16"/>
                <w:szCs w:val="16"/>
                <w:lang w:eastAsia="hr-HR"/>
              </w:rPr>
            </w:pPr>
            <w:r w:rsidRPr="00D10EFB">
              <w:rPr>
                <w:rFonts w:ascii="Arial" w:eastAsia="Times New Roman" w:hAnsi="Arial" w:cs="Arial"/>
                <w:sz w:val="16"/>
                <w:szCs w:val="16"/>
                <w:lang w:eastAsia="hr-HR"/>
              </w:rPr>
              <w:t>- 1+2+8</w:t>
            </w:r>
          </w:p>
        </w:tc>
        <w:tc>
          <w:tcPr>
            <w:tcW w:w="1155" w:type="dxa"/>
            <w:tcBorders>
              <w:top w:val="nil"/>
              <w:left w:val="nil"/>
              <w:bottom w:val="single" w:sz="4" w:space="0" w:color="000080"/>
              <w:right w:val="single" w:sz="4" w:space="0" w:color="000080"/>
            </w:tcBorders>
            <w:shd w:val="clear" w:color="auto" w:fill="auto"/>
            <w:noWrap/>
            <w:vAlign w:val="center"/>
            <w:hideMark/>
          </w:tcPr>
          <w:p w:rsidR="00950FE1" w:rsidRPr="00D10EFB" w:rsidRDefault="00950FE1" w:rsidP="00950FE1">
            <w:pPr>
              <w:spacing w:after="0" w:line="240" w:lineRule="auto"/>
              <w:jc w:val="right"/>
              <w:rPr>
                <w:rFonts w:ascii="Arial" w:eastAsia="Times New Roman" w:hAnsi="Arial" w:cs="Arial"/>
                <w:b/>
                <w:color w:val="000000"/>
                <w:sz w:val="16"/>
                <w:szCs w:val="16"/>
                <w:lang w:eastAsia="hr-HR"/>
              </w:rPr>
            </w:pPr>
            <w:r w:rsidRPr="00D10EFB">
              <w:rPr>
                <w:rFonts w:ascii="Arial" w:eastAsia="Times New Roman" w:hAnsi="Arial" w:cs="Arial"/>
                <w:b/>
                <w:color w:val="000000"/>
                <w:sz w:val="16"/>
                <w:szCs w:val="16"/>
                <w:lang w:eastAsia="hr-HR"/>
              </w:rPr>
              <w:t>154,045</w:t>
            </w:r>
          </w:p>
        </w:tc>
        <w:tc>
          <w:tcPr>
            <w:tcW w:w="1068" w:type="dxa"/>
            <w:tcBorders>
              <w:top w:val="nil"/>
              <w:left w:val="nil"/>
              <w:bottom w:val="single" w:sz="4" w:space="0" w:color="000080"/>
              <w:right w:val="single" w:sz="4" w:space="0" w:color="000080"/>
            </w:tcBorders>
            <w:shd w:val="clear" w:color="auto" w:fill="auto"/>
            <w:noWrap/>
            <w:vAlign w:val="center"/>
            <w:hideMark/>
          </w:tcPr>
          <w:p w:rsidR="00950FE1" w:rsidRPr="00D10EFB" w:rsidRDefault="00950FE1" w:rsidP="00950FE1">
            <w:pPr>
              <w:spacing w:after="0" w:line="240" w:lineRule="auto"/>
              <w:jc w:val="right"/>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38,037</w:t>
            </w:r>
          </w:p>
        </w:tc>
        <w:tc>
          <w:tcPr>
            <w:tcW w:w="1013" w:type="dxa"/>
            <w:tcBorders>
              <w:top w:val="nil"/>
              <w:left w:val="nil"/>
              <w:bottom w:val="single" w:sz="4" w:space="0" w:color="000080"/>
              <w:right w:val="single" w:sz="4" w:space="0" w:color="000080"/>
            </w:tcBorders>
            <w:shd w:val="clear" w:color="auto" w:fill="auto"/>
            <w:noWrap/>
            <w:vAlign w:val="center"/>
            <w:hideMark/>
          </w:tcPr>
          <w:p w:rsidR="00950FE1" w:rsidRPr="00D10EFB" w:rsidRDefault="00950FE1" w:rsidP="00950FE1">
            <w:pPr>
              <w:spacing w:after="0" w:line="240" w:lineRule="auto"/>
              <w:jc w:val="right"/>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34,83</w:t>
            </w:r>
            <w:r w:rsidR="00250176" w:rsidRPr="00D10EFB">
              <w:rPr>
                <w:rFonts w:ascii="Arial" w:eastAsia="Times New Roman" w:hAnsi="Arial" w:cs="Arial"/>
                <w:color w:val="000000"/>
                <w:sz w:val="16"/>
                <w:szCs w:val="16"/>
                <w:lang w:eastAsia="hr-HR"/>
              </w:rPr>
              <w:t>0</w:t>
            </w:r>
          </w:p>
        </w:tc>
        <w:tc>
          <w:tcPr>
            <w:tcW w:w="978" w:type="dxa"/>
            <w:tcBorders>
              <w:top w:val="nil"/>
              <w:left w:val="nil"/>
              <w:bottom w:val="single" w:sz="4" w:space="0" w:color="000080"/>
              <w:right w:val="single" w:sz="4" w:space="0" w:color="000080"/>
            </w:tcBorders>
            <w:shd w:val="clear" w:color="auto" w:fill="auto"/>
            <w:noWrap/>
            <w:vAlign w:val="center"/>
            <w:hideMark/>
          </w:tcPr>
          <w:p w:rsidR="00950FE1" w:rsidRPr="00D10EFB" w:rsidRDefault="00950FE1" w:rsidP="00950FE1">
            <w:pPr>
              <w:spacing w:after="0" w:line="240" w:lineRule="auto"/>
              <w:jc w:val="right"/>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11,893</w:t>
            </w:r>
          </w:p>
        </w:tc>
        <w:tc>
          <w:tcPr>
            <w:tcW w:w="1013" w:type="dxa"/>
            <w:tcBorders>
              <w:top w:val="nil"/>
              <w:left w:val="nil"/>
              <w:bottom w:val="single" w:sz="4" w:space="0" w:color="000080"/>
              <w:right w:val="single" w:sz="4" w:space="0" w:color="000080"/>
            </w:tcBorders>
            <w:shd w:val="clear" w:color="auto" w:fill="auto"/>
            <w:noWrap/>
            <w:vAlign w:val="center"/>
            <w:hideMark/>
          </w:tcPr>
          <w:p w:rsidR="00950FE1" w:rsidRPr="00D10EFB" w:rsidRDefault="00950FE1" w:rsidP="00950FE1">
            <w:pPr>
              <w:spacing w:after="0" w:line="240" w:lineRule="auto"/>
              <w:jc w:val="right"/>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16,577</w:t>
            </w:r>
          </w:p>
        </w:tc>
        <w:tc>
          <w:tcPr>
            <w:tcW w:w="978" w:type="dxa"/>
            <w:tcBorders>
              <w:top w:val="nil"/>
              <w:left w:val="nil"/>
              <w:bottom w:val="single" w:sz="4" w:space="0" w:color="000080"/>
              <w:right w:val="single" w:sz="4" w:space="0" w:color="000080"/>
            </w:tcBorders>
            <w:shd w:val="clear" w:color="auto" w:fill="auto"/>
            <w:noWrap/>
            <w:vAlign w:val="center"/>
            <w:hideMark/>
          </w:tcPr>
          <w:p w:rsidR="00950FE1" w:rsidRPr="00D10EFB" w:rsidRDefault="00950FE1" w:rsidP="00950FE1">
            <w:pPr>
              <w:spacing w:after="0" w:line="240" w:lineRule="auto"/>
              <w:jc w:val="right"/>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12,785</w:t>
            </w:r>
          </w:p>
        </w:tc>
        <w:tc>
          <w:tcPr>
            <w:tcW w:w="1013" w:type="dxa"/>
            <w:tcBorders>
              <w:top w:val="nil"/>
              <w:left w:val="nil"/>
              <w:bottom w:val="single" w:sz="4" w:space="0" w:color="000080"/>
              <w:right w:val="single" w:sz="4" w:space="0" w:color="000080"/>
            </w:tcBorders>
            <w:shd w:val="clear" w:color="auto" w:fill="auto"/>
            <w:noWrap/>
            <w:vAlign w:val="center"/>
            <w:hideMark/>
          </w:tcPr>
          <w:p w:rsidR="00950FE1" w:rsidRPr="00D10EFB" w:rsidRDefault="00950FE1" w:rsidP="00950FE1">
            <w:pPr>
              <w:spacing w:after="0" w:line="240" w:lineRule="auto"/>
              <w:jc w:val="right"/>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23,395</w:t>
            </w:r>
          </w:p>
        </w:tc>
        <w:tc>
          <w:tcPr>
            <w:tcW w:w="902" w:type="dxa"/>
            <w:tcBorders>
              <w:top w:val="nil"/>
              <w:left w:val="nil"/>
              <w:bottom w:val="single" w:sz="4" w:space="0" w:color="000080"/>
              <w:right w:val="single" w:sz="4" w:space="0" w:color="000080"/>
            </w:tcBorders>
            <w:shd w:val="clear" w:color="auto" w:fill="auto"/>
            <w:noWrap/>
            <w:vAlign w:val="center"/>
            <w:hideMark/>
          </w:tcPr>
          <w:p w:rsidR="00950FE1" w:rsidRPr="00D10EFB" w:rsidRDefault="00950FE1" w:rsidP="00950FE1">
            <w:pPr>
              <w:spacing w:after="0" w:line="240" w:lineRule="auto"/>
              <w:jc w:val="right"/>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16,528</w:t>
            </w:r>
          </w:p>
        </w:tc>
      </w:tr>
      <w:tr w:rsidR="00950FE1" w:rsidRPr="00D10EFB" w:rsidTr="00950FE1">
        <w:trPr>
          <w:trHeight w:val="300"/>
        </w:trPr>
        <w:tc>
          <w:tcPr>
            <w:tcW w:w="1270" w:type="dxa"/>
            <w:tcBorders>
              <w:top w:val="nil"/>
              <w:left w:val="single" w:sz="4" w:space="0" w:color="000080"/>
              <w:bottom w:val="single" w:sz="4" w:space="0" w:color="000080"/>
              <w:right w:val="single" w:sz="4" w:space="0" w:color="000080"/>
            </w:tcBorders>
            <w:shd w:val="clear" w:color="auto" w:fill="auto"/>
            <w:noWrap/>
            <w:vAlign w:val="center"/>
            <w:hideMark/>
          </w:tcPr>
          <w:p w:rsidR="00950FE1" w:rsidRPr="00D10EFB" w:rsidRDefault="00950FE1" w:rsidP="00D10EFB">
            <w:pPr>
              <w:spacing w:after="0" w:line="240" w:lineRule="auto"/>
              <w:ind w:firstLineChars="200" w:firstLine="320"/>
              <w:rPr>
                <w:rFonts w:ascii="Arial" w:eastAsia="Times New Roman" w:hAnsi="Arial" w:cs="Arial"/>
                <w:sz w:val="16"/>
                <w:szCs w:val="16"/>
                <w:lang w:eastAsia="hr-HR"/>
              </w:rPr>
            </w:pPr>
            <w:r w:rsidRPr="00D10EFB">
              <w:rPr>
                <w:rFonts w:ascii="Arial" w:eastAsia="Times New Roman" w:hAnsi="Arial" w:cs="Arial"/>
                <w:sz w:val="16"/>
                <w:szCs w:val="16"/>
                <w:lang w:eastAsia="hr-HR"/>
              </w:rPr>
              <w:t>- ostali izvori</w:t>
            </w:r>
          </w:p>
        </w:tc>
        <w:tc>
          <w:tcPr>
            <w:tcW w:w="1155" w:type="dxa"/>
            <w:tcBorders>
              <w:top w:val="nil"/>
              <w:left w:val="nil"/>
              <w:bottom w:val="single" w:sz="4" w:space="0" w:color="000080"/>
              <w:right w:val="single" w:sz="4" w:space="0" w:color="000080"/>
            </w:tcBorders>
            <w:shd w:val="clear" w:color="auto" w:fill="auto"/>
            <w:noWrap/>
            <w:vAlign w:val="center"/>
            <w:hideMark/>
          </w:tcPr>
          <w:p w:rsidR="00950FE1" w:rsidRPr="00D10EFB" w:rsidRDefault="00950FE1" w:rsidP="00950FE1">
            <w:pPr>
              <w:spacing w:after="0" w:line="240" w:lineRule="auto"/>
              <w:jc w:val="right"/>
              <w:rPr>
                <w:rFonts w:ascii="Arial" w:eastAsia="Times New Roman" w:hAnsi="Arial" w:cs="Arial"/>
                <w:b/>
                <w:color w:val="000000"/>
                <w:sz w:val="16"/>
                <w:szCs w:val="16"/>
                <w:lang w:eastAsia="hr-HR"/>
              </w:rPr>
            </w:pPr>
            <w:r w:rsidRPr="00D10EFB">
              <w:rPr>
                <w:rFonts w:ascii="Arial" w:eastAsia="Times New Roman" w:hAnsi="Arial" w:cs="Arial"/>
                <w:b/>
                <w:color w:val="000000"/>
                <w:sz w:val="16"/>
                <w:szCs w:val="16"/>
                <w:lang w:eastAsia="hr-HR"/>
              </w:rPr>
              <w:t>15,496</w:t>
            </w:r>
          </w:p>
        </w:tc>
        <w:tc>
          <w:tcPr>
            <w:tcW w:w="1068" w:type="dxa"/>
            <w:tcBorders>
              <w:top w:val="nil"/>
              <w:left w:val="nil"/>
              <w:bottom w:val="single" w:sz="4" w:space="0" w:color="000080"/>
              <w:right w:val="single" w:sz="4" w:space="0" w:color="000080"/>
            </w:tcBorders>
            <w:shd w:val="clear" w:color="auto" w:fill="auto"/>
            <w:noWrap/>
            <w:vAlign w:val="center"/>
            <w:hideMark/>
          </w:tcPr>
          <w:p w:rsidR="00950FE1" w:rsidRPr="00D10EFB" w:rsidRDefault="00950FE1" w:rsidP="00950FE1">
            <w:pPr>
              <w:spacing w:after="0" w:line="240" w:lineRule="auto"/>
              <w:jc w:val="right"/>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2,885</w:t>
            </w:r>
          </w:p>
        </w:tc>
        <w:tc>
          <w:tcPr>
            <w:tcW w:w="1013" w:type="dxa"/>
            <w:tcBorders>
              <w:top w:val="nil"/>
              <w:left w:val="nil"/>
              <w:bottom w:val="single" w:sz="4" w:space="0" w:color="000080"/>
              <w:right w:val="single" w:sz="4" w:space="0" w:color="000080"/>
            </w:tcBorders>
            <w:shd w:val="clear" w:color="auto" w:fill="auto"/>
            <w:noWrap/>
            <w:vAlign w:val="center"/>
            <w:hideMark/>
          </w:tcPr>
          <w:p w:rsidR="00950FE1" w:rsidRPr="00D10EFB" w:rsidRDefault="00950FE1" w:rsidP="00950FE1">
            <w:pPr>
              <w:spacing w:after="0" w:line="240" w:lineRule="auto"/>
              <w:jc w:val="right"/>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3,504</w:t>
            </w:r>
          </w:p>
        </w:tc>
        <w:tc>
          <w:tcPr>
            <w:tcW w:w="978" w:type="dxa"/>
            <w:tcBorders>
              <w:top w:val="nil"/>
              <w:left w:val="nil"/>
              <w:bottom w:val="single" w:sz="4" w:space="0" w:color="000080"/>
              <w:right w:val="single" w:sz="4" w:space="0" w:color="000080"/>
            </w:tcBorders>
            <w:shd w:val="clear" w:color="auto" w:fill="auto"/>
            <w:noWrap/>
            <w:vAlign w:val="center"/>
            <w:hideMark/>
          </w:tcPr>
          <w:p w:rsidR="00950FE1" w:rsidRPr="00D10EFB" w:rsidRDefault="00950FE1" w:rsidP="00950FE1">
            <w:pPr>
              <w:spacing w:after="0" w:line="240" w:lineRule="auto"/>
              <w:jc w:val="right"/>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0,692</w:t>
            </w:r>
          </w:p>
        </w:tc>
        <w:tc>
          <w:tcPr>
            <w:tcW w:w="1013" w:type="dxa"/>
            <w:tcBorders>
              <w:top w:val="nil"/>
              <w:left w:val="nil"/>
              <w:bottom w:val="single" w:sz="4" w:space="0" w:color="000080"/>
              <w:right w:val="single" w:sz="4" w:space="0" w:color="000080"/>
            </w:tcBorders>
            <w:shd w:val="clear" w:color="auto" w:fill="auto"/>
            <w:noWrap/>
            <w:vAlign w:val="center"/>
            <w:hideMark/>
          </w:tcPr>
          <w:p w:rsidR="00950FE1" w:rsidRPr="00D10EFB" w:rsidRDefault="00950FE1" w:rsidP="00950FE1">
            <w:pPr>
              <w:spacing w:after="0" w:line="240" w:lineRule="auto"/>
              <w:jc w:val="right"/>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2,546</w:t>
            </w:r>
          </w:p>
        </w:tc>
        <w:tc>
          <w:tcPr>
            <w:tcW w:w="978" w:type="dxa"/>
            <w:tcBorders>
              <w:top w:val="nil"/>
              <w:left w:val="nil"/>
              <w:bottom w:val="single" w:sz="4" w:space="0" w:color="000080"/>
              <w:right w:val="single" w:sz="4" w:space="0" w:color="000080"/>
            </w:tcBorders>
            <w:shd w:val="clear" w:color="auto" w:fill="auto"/>
            <w:noWrap/>
            <w:vAlign w:val="center"/>
            <w:hideMark/>
          </w:tcPr>
          <w:p w:rsidR="00950FE1" w:rsidRPr="00D10EFB" w:rsidRDefault="00950FE1" w:rsidP="00950FE1">
            <w:pPr>
              <w:spacing w:after="0" w:line="240" w:lineRule="auto"/>
              <w:jc w:val="right"/>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0,932</w:t>
            </w:r>
          </w:p>
        </w:tc>
        <w:tc>
          <w:tcPr>
            <w:tcW w:w="1013" w:type="dxa"/>
            <w:tcBorders>
              <w:top w:val="nil"/>
              <w:left w:val="nil"/>
              <w:bottom w:val="single" w:sz="4" w:space="0" w:color="000080"/>
              <w:right w:val="single" w:sz="4" w:space="0" w:color="000080"/>
            </w:tcBorders>
            <w:shd w:val="clear" w:color="auto" w:fill="auto"/>
            <w:noWrap/>
            <w:vAlign w:val="center"/>
            <w:hideMark/>
          </w:tcPr>
          <w:p w:rsidR="00950FE1" w:rsidRPr="00D10EFB" w:rsidRDefault="00950FE1" w:rsidP="00950FE1">
            <w:pPr>
              <w:spacing w:after="0" w:line="240" w:lineRule="auto"/>
              <w:jc w:val="right"/>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4,265</w:t>
            </w:r>
          </w:p>
        </w:tc>
        <w:tc>
          <w:tcPr>
            <w:tcW w:w="902" w:type="dxa"/>
            <w:tcBorders>
              <w:top w:val="nil"/>
              <w:left w:val="nil"/>
              <w:bottom w:val="single" w:sz="4" w:space="0" w:color="000080"/>
              <w:right w:val="single" w:sz="4" w:space="0" w:color="000080"/>
            </w:tcBorders>
            <w:shd w:val="clear" w:color="auto" w:fill="auto"/>
            <w:noWrap/>
            <w:vAlign w:val="center"/>
            <w:hideMark/>
          </w:tcPr>
          <w:p w:rsidR="00950FE1" w:rsidRPr="00D10EFB" w:rsidRDefault="00950FE1" w:rsidP="00950FE1">
            <w:pPr>
              <w:spacing w:after="0" w:line="240" w:lineRule="auto"/>
              <w:jc w:val="right"/>
              <w:rPr>
                <w:rFonts w:ascii="Arial" w:eastAsia="Times New Roman" w:hAnsi="Arial" w:cs="Arial"/>
                <w:color w:val="000000"/>
                <w:sz w:val="16"/>
                <w:szCs w:val="16"/>
                <w:lang w:eastAsia="hr-HR"/>
              </w:rPr>
            </w:pPr>
            <w:r w:rsidRPr="00D10EFB">
              <w:rPr>
                <w:rFonts w:ascii="Arial" w:eastAsia="Times New Roman" w:hAnsi="Arial" w:cs="Arial"/>
                <w:color w:val="000000"/>
                <w:sz w:val="16"/>
                <w:szCs w:val="16"/>
                <w:lang w:eastAsia="hr-HR"/>
              </w:rPr>
              <w:t>0,672</w:t>
            </w:r>
          </w:p>
        </w:tc>
      </w:tr>
    </w:tbl>
    <w:p w:rsidR="00676A55" w:rsidRPr="00FA7F54" w:rsidRDefault="00676A55" w:rsidP="00203B94">
      <w:pPr>
        <w:shd w:val="clear" w:color="auto" w:fill="FFFFFF"/>
        <w:spacing w:after="0" w:line="240" w:lineRule="auto"/>
        <w:ind w:firstLine="360"/>
        <w:jc w:val="both"/>
        <w:rPr>
          <w:rFonts w:ascii="Times New Roman" w:hAnsi="Times New Roman" w:cs="Times New Roman"/>
          <w:u w:val="single"/>
        </w:rPr>
      </w:pPr>
    </w:p>
    <w:p w:rsidR="003C732B" w:rsidRPr="00FA7F54" w:rsidRDefault="003C732B" w:rsidP="00203B94">
      <w:pPr>
        <w:shd w:val="clear" w:color="auto" w:fill="FFFFFF"/>
        <w:spacing w:after="0" w:line="240" w:lineRule="auto"/>
        <w:ind w:firstLine="360"/>
        <w:jc w:val="both"/>
        <w:rPr>
          <w:rFonts w:ascii="Times New Roman" w:hAnsi="Times New Roman" w:cs="Times New Roman"/>
          <w:u w:val="single"/>
        </w:rPr>
      </w:pPr>
      <w:r w:rsidRPr="00FA7F54">
        <w:rPr>
          <w:rFonts w:ascii="Times New Roman" w:hAnsi="Times New Roman" w:cs="Times New Roman"/>
          <w:u w:val="single"/>
        </w:rPr>
        <w:t>Mj</w:t>
      </w:r>
      <w:r w:rsidR="0099106B" w:rsidRPr="00FA7F54">
        <w:rPr>
          <w:rFonts w:ascii="Times New Roman" w:hAnsi="Times New Roman" w:cs="Times New Roman"/>
          <w:u w:val="single"/>
        </w:rPr>
        <w:t>ere za smanjenje odnosno optim</w:t>
      </w:r>
      <w:r w:rsidRPr="00FA7F54">
        <w:rPr>
          <w:rFonts w:ascii="Times New Roman" w:hAnsi="Times New Roman" w:cs="Times New Roman"/>
          <w:u w:val="single"/>
        </w:rPr>
        <w:t>izaciju rashoda:</w:t>
      </w:r>
    </w:p>
    <w:p w:rsidR="00944D2A" w:rsidRDefault="00EF704A" w:rsidP="00A85066">
      <w:pPr>
        <w:pStyle w:val="Odlomakpopisa"/>
        <w:numPr>
          <w:ilvl w:val="0"/>
          <w:numId w:val="2"/>
        </w:numPr>
        <w:spacing w:after="0" w:line="240" w:lineRule="auto"/>
        <w:ind w:left="0" w:firstLine="360"/>
        <w:jc w:val="both"/>
        <w:rPr>
          <w:rFonts w:ascii="Times New Roman" w:hAnsi="Times New Roman" w:cs="Times New Roman"/>
        </w:rPr>
      </w:pPr>
      <w:r w:rsidRPr="00FA7F54">
        <w:rPr>
          <w:rFonts w:ascii="Times New Roman" w:hAnsi="Times New Roman" w:cs="Times New Roman"/>
        </w:rPr>
        <w:t xml:space="preserve">Procjena </w:t>
      </w:r>
      <w:r w:rsidRPr="00FA7F54">
        <w:rPr>
          <w:rFonts w:ascii="Times New Roman" w:eastAsia="Times New Roman" w:hAnsi="Times New Roman"/>
          <w:lang w:eastAsia="hr-HR"/>
        </w:rPr>
        <w:t>učinkovitog i djelotvornog funkcioniranja sustava financijskog upravljanja i kontrola</w:t>
      </w:r>
      <w:r w:rsidRPr="00FA7F54">
        <w:rPr>
          <w:rFonts w:ascii="Times New Roman" w:hAnsi="Times New Roman" w:cs="Times New Roman"/>
        </w:rPr>
        <w:t xml:space="preserve">: </w:t>
      </w:r>
      <w:r w:rsidR="00944D2A">
        <w:rPr>
          <w:rFonts w:ascii="Times New Roman" w:hAnsi="Times New Roman" w:cs="Times New Roman"/>
        </w:rPr>
        <w:t>prosječni mjesečni trošak po zaposlenom.</w:t>
      </w:r>
    </w:p>
    <w:p w:rsidR="00A95D0F" w:rsidRPr="00944D2A" w:rsidRDefault="00944D2A" w:rsidP="00944D2A">
      <w:pPr>
        <w:spacing w:after="0" w:line="240" w:lineRule="auto"/>
        <w:jc w:val="both"/>
        <w:rPr>
          <w:rFonts w:ascii="Times New Roman" w:hAnsi="Times New Roman" w:cs="Times New Roman"/>
        </w:rPr>
      </w:pPr>
      <w:r>
        <w:rPr>
          <w:rFonts w:ascii="Times New Roman" w:hAnsi="Times New Roman" w:cs="Times New Roman"/>
        </w:rPr>
        <w:t>S</w:t>
      </w:r>
      <w:r w:rsidR="00EF704A" w:rsidRPr="00944D2A">
        <w:rPr>
          <w:rFonts w:ascii="Times New Roman" w:hAnsi="Times New Roman" w:cs="Times New Roman"/>
        </w:rPr>
        <w:t>v</w:t>
      </w:r>
      <w:r w:rsidR="00676A55" w:rsidRPr="00944D2A">
        <w:rPr>
          <w:rFonts w:ascii="Times New Roman" w:hAnsi="Times New Roman" w:cs="Times New Roman"/>
        </w:rPr>
        <w:t>i</w:t>
      </w:r>
      <w:r w:rsidR="00EF704A" w:rsidRPr="00944D2A">
        <w:rPr>
          <w:rFonts w:ascii="Times New Roman" w:hAnsi="Times New Roman" w:cs="Times New Roman"/>
        </w:rPr>
        <w:t xml:space="preserve"> korisni</w:t>
      </w:r>
      <w:r w:rsidR="00676A55" w:rsidRPr="00944D2A">
        <w:rPr>
          <w:rFonts w:ascii="Times New Roman" w:hAnsi="Times New Roman" w:cs="Times New Roman"/>
        </w:rPr>
        <w:t>ci</w:t>
      </w:r>
      <w:r w:rsidR="00EF704A" w:rsidRPr="00944D2A">
        <w:rPr>
          <w:rFonts w:ascii="Times New Roman" w:hAnsi="Times New Roman" w:cs="Times New Roman"/>
        </w:rPr>
        <w:t xml:space="preserve"> čiji prosječni mjesečni </w:t>
      </w:r>
      <w:r w:rsidR="003E2375" w:rsidRPr="00944D2A">
        <w:rPr>
          <w:rFonts w:ascii="Times New Roman" w:hAnsi="Times New Roman" w:cs="Times New Roman"/>
        </w:rPr>
        <w:t>troškovi po zaposlenom prelaze prosječne mjesečne</w:t>
      </w:r>
      <w:r w:rsidR="00EF704A" w:rsidRPr="00944D2A">
        <w:rPr>
          <w:rFonts w:ascii="Times New Roman" w:hAnsi="Times New Roman" w:cs="Times New Roman"/>
        </w:rPr>
        <w:t xml:space="preserve"> </w:t>
      </w:r>
      <w:r w:rsidR="003E2375" w:rsidRPr="00944D2A">
        <w:rPr>
          <w:rFonts w:ascii="Times New Roman" w:hAnsi="Times New Roman" w:cs="Times New Roman"/>
        </w:rPr>
        <w:t xml:space="preserve">troškove </w:t>
      </w:r>
      <w:r w:rsidR="00EF704A" w:rsidRPr="00944D2A">
        <w:rPr>
          <w:rFonts w:ascii="Times New Roman" w:hAnsi="Times New Roman" w:cs="Times New Roman"/>
        </w:rPr>
        <w:t>po zaposlenom</w:t>
      </w:r>
      <w:r w:rsidR="003E2375" w:rsidRPr="00944D2A">
        <w:rPr>
          <w:rFonts w:ascii="Times New Roman" w:hAnsi="Times New Roman" w:cs="Times New Roman"/>
        </w:rPr>
        <w:t xml:space="preserve"> svih korisnika</w:t>
      </w:r>
      <w:r w:rsidR="00A85066" w:rsidRPr="00944D2A">
        <w:rPr>
          <w:rFonts w:ascii="Times New Roman" w:hAnsi="Times New Roman" w:cs="Times New Roman"/>
        </w:rPr>
        <w:t>, a većim se dijelom financiraju iz državnog proračuna,</w:t>
      </w:r>
      <w:r w:rsidR="00EF704A" w:rsidRPr="00944D2A">
        <w:rPr>
          <w:rFonts w:ascii="Times New Roman" w:hAnsi="Times New Roman" w:cs="Times New Roman"/>
        </w:rPr>
        <w:t xml:space="preserve"> obvezni su izradit</w:t>
      </w:r>
      <w:r w:rsidR="00A95D0F" w:rsidRPr="00944D2A">
        <w:rPr>
          <w:rFonts w:ascii="Times New Roman" w:hAnsi="Times New Roman" w:cs="Times New Roman"/>
        </w:rPr>
        <w:t>i analizu rashoda za službena putovanja</w:t>
      </w:r>
      <w:r w:rsidR="005F6A79" w:rsidRPr="00944D2A">
        <w:rPr>
          <w:rFonts w:ascii="Times New Roman" w:hAnsi="Times New Roman" w:cs="Times New Roman"/>
        </w:rPr>
        <w:t xml:space="preserve"> prema </w:t>
      </w:r>
      <w:r w:rsidR="004D705B" w:rsidRPr="00944D2A">
        <w:rPr>
          <w:rFonts w:ascii="Times New Roman" w:hAnsi="Times New Roman" w:cs="Times New Roman"/>
        </w:rPr>
        <w:t>organizacijskim jedinicama</w:t>
      </w:r>
      <w:r w:rsidR="005F6A79" w:rsidRPr="00944D2A">
        <w:rPr>
          <w:rFonts w:ascii="Times New Roman" w:hAnsi="Times New Roman" w:cs="Times New Roman"/>
        </w:rPr>
        <w:t>, prirodnoj vrsti troška i drugim kriterijima radi identificiranja uzroka povećanih troškova odnosno poduzimanja mjera radi mogućih ušteda</w:t>
      </w:r>
      <w:r w:rsidR="00A95D0F" w:rsidRPr="00944D2A">
        <w:rPr>
          <w:rFonts w:ascii="Times New Roman" w:hAnsi="Times New Roman" w:cs="Times New Roman"/>
        </w:rPr>
        <w:t>.</w:t>
      </w:r>
      <w:r w:rsidR="004D705B" w:rsidRPr="00944D2A">
        <w:rPr>
          <w:rFonts w:ascii="Times New Roman" w:hAnsi="Times New Roman" w:cs="Times New Roman"/>
        </w:rPr>
        <w:t xml:space="preserve"> </w:t>
      </w:r>
      <w:r w:rsidR="003E2375" w:rsidRPr="00944D2A">
        <w:rPr>
          <w:rFonts w:ascii="Times New Roman" w:hAnsi="Times New Roman" w:cs="Times New Roman"/>
        </w:rPr>
        <w:t>Navedeni korisnici</w:t>
      </w:r>
      <w:r w:rsidR="00A95D0F" w:rsidRPr="00944D2A">
        <w:rPr>
          <w:rFonts w:ascii="Times New Roman" w:hAnsi="Times New Roman" w:cs="Times New Roman"/>
        </w:rPr>
        <w:t xml:space="preserve"> moraju kontinuirano preispitivati visinu</w:t>
      </w:r>
      <w:r w:rsidR="005F6A79" w:rsidRPr="00944D2A">
        <w:rPr>
          <w:rFonts w:ascii="Times New Roman" w:hAnsi="Times New Roman" w:cs="Times New Roman"/>
        </w:rPr>
        <w:t xml:space="preserve"> troškova za službena putovanja.</w:t>
      </w:r>
      <w:r w:rsidR="003E2375" w:rsidRPr="00944D2A">
        <w:rPr>
          <w:rFonts w:ascii="Times New Roman" w:hAnsi="Times New Roman" w:cs="Times New Roman"/>
        </w:rPr>
        <w:t xml:space="preserve"> </w:t>
      </w:r>
    </w:p>
    <w:p w:rsidR="00E11763" w:rsidRDefault="00E11763" w:rsidP="006C51D7">
      <w:pPr>
        <w:pStyle w:val="Odlomakpopisa"/>
        <w:numPr>
          <w:ilvl w:val="0"/>
          <w:numId w:val="2"/>
        </w:numPr>
        <w:spacing w:after="0" w:line="240" w:lineRule="auto"/>
        <w:ind w:left="0" w:firstLine="360"/>
        <w:jc w:val="both"/>
        <w:rPr>
          <w:rFonts w:ascii="Times New Roman" w:hAnsi="Times New Roman" w:cs="Times New Roman"/>
        </w:rPr>
      </w:pPr>
      <w:r w:rsidRPr="00FA7F54">
        <w:rPr>
          <w:rFonts w:ascii="Times New Roman" w:hAnsi="Times New Roman" w:cs="Times New Roman"/>
        </w:rPr>
        <w:t>Na jedinstven način propisati vrstu smještaja i prijevoza čiji se troškovi financiraju iz državnog proračuna te ostale uvjete priznavanja rashoda vezanih za službena putovanja</w:t>
      </w:r>
      <w:r w:rsidR="00515F19">
        <w:rPr>
          <w:rFonts w:ascii="Times New Roman" w:hAnsi="Times New Roman" w:cs="Times New Roman"/>
        </w:rPr>
        <w:t>. U</w:t>
      </w:r>
      <w:r w:rsidRPr="00515F19">
        <w:rPr>
          <w:rFonts w:ascii="Times New Roman" w:hAnsi="Times New Roman" w:cs="Times New Roman"/>
        </w:rPr>
        <w:t xml:space="preserve">vesti obvezu ugovaranja prijevoza i smještaja ekonomske klase uz rezervacije putovanja unaprijed gdje god je to moguće, te pobliže ispitati opravdanost postojanja naknada za terenski rad povrh dnevnica. </w:t>
      </w:r>
    </w:p>
    <w:p w:rsidR="00A307FE" w:rsidRPr="00A307FE" w:rsidRDefault="00A307FE" w:rsidP="00A307FE">
      <w:pPr>
        <w:pStyle w:val="Odlomakpopisa"/>
        <w:numPr>
          <w:ilvl w:val="0"/>
          <w:numId w:val="2"/>
        </w:numPr>
        <w:spacing w:after="0" w:line="240" w:lineRule="auto"/>
        <w:ind w:left="0" w:firstLine="360"/>
        <w:jc w:val="both"/>
        <w:rPr>
          <w:rFonts w:ascii="Times New Roman" w:hAnsi="Times New Roman" w:cs="Times New Roman"/>
        </w:rPr>
      </w:pPr>
      <w:r>
        <w:rPr>
          <w:rFonts w:ascii="Times New Roman" w:hAnsi="Times New Roman" w:cs="Times New Roman"/>
        </w:rPr>
        <w:t>Na jed</w:t>
      </w:r>
      <w:r w:rsidR="000F191A">
        <w:rPr>
          <w:rFonts w:ascii="Times New Roman" w:hAnsi="Times New Roman" w:cs="Times New Roman"/>
        </w:rPr>
        <w:t>instven način urediti proces</w:t>
      </w:r>
      <w:r>
        <w:rPr>
          <w:rFonts w:ascii="Times New Roman" w:hAnsi="Times New Roman" w:cs="Times New Roman"/>
        </w:rPr>
        <w:t xml:space="preserve"> odobravanja troškova službenih putovanja</w:t>
      </w:r>
      <w:r w:rsidR="00AE0DC0">
        <w:rPr>
          <w:rFonts w:ascii="Times New Roman" w:hAnsi="Times New Roman" w:cs="Times New Roman"/>
        </w:rPr>
        <w:t xml:space="preserve"> kod korisnika</w:t>
      </w:r>
      <w:r>
        <w:rPr>
          <w:rFonts w:ascii="Times New Roman" w:hAnsi="Times New Roman" w:cs="Times New Roman"/>
        </w:rPr>
        <w:t>.</w:t>
      </w:r>
    </w:p>
    <w:p w:rsidR="001B7738" w:rsidRPr="006328F4" w:rsidRDefault="00391DCB" w:rsidP="00386350">
      <w:pPr>
        <w:pStyle w:val="Odlomakpopisa"/>
        <w:numPr>
          <w:ilvl w:val="0"/>
          <w:numId w:val="2"/>
        </w:numPr>
        <w:spacing w:line="240" w:lineRule="auto"/>
        <w:ind w:left="0" w:firstLine="360"/>
        <w:jc w:val="both"/>
        <w:rPr>
          <w:rFonts w:ascii="Times New Roman" w:hAnsi="Times New Roman" w:cs="Times New Roman"/>
        </w:rPr>
      </w:pPr>
      <w:r w:rsidRPr="00FA7F54">
        <w:rPr>
          <w:rFonts w:ascii="Times New Roman" w:hAnsi="Times New Roman" w:cs="Times New Roman"/>
        </w:rPr>
        <w:t>U radnoj skupini prezentirati primjere dobre prakse upravljanja troškovima službenih putovanja</w:t>
      </w:r>
      <w:r w:rsidR="00446B8A" w:rsidRPr="00FA7F54">
        <w:rPr>
          <w:rFonts w:ascii="Times New Roman" w:hAnsi="Times New Roman" w:cs="Times New Roman"/>
        </w:rPr>
        <w:t xml:space="preserve"> u zemlji i inozemstvu</w:t>
      </w:r>
      <w:r w:rsidRPr="00FA7F54">
        <w:rPr>
          <w:rFonts w:ascii="Times New Roman" w:hAnsi="Times New Roman" w:cs="Times New Roman"/>
        </w:rPr>
        <w:t>.</w:t>
      </w:r>
    </w:p>
    <w:p w:rsidR="001901D2" w:rsidRPr="00FA7F54" w:rsidRDefault="001901D2" w:rsidP="000D0271">
      <w:pPr>
        <w:pStyle w:val="Naslov2"/>
        <w:rPr>
          <w:rFonts w:ascii="Times New Roman" w:hAnsi="Times New Roman" w:cs="Times New Roman"/>
          <w:color w:val="auto"/>
          <w:sz w:val="22"/>
          <w:szCs w:val="22"/>
        </w:rPr>
      </w:pPr>
      <w:bookmarkStart w:id="20" w:name="_Toc434411176"/>
      <w:bookmarkStart w:id="21" w:name="_Toc436402319"/>
      <w:r w:rsidRPr="00FA7F54">
        <w:rPr>
          <w:rFonts w:ascii="Times New Roman" w:hAnsi="Times New Roman" w:cs="Times New Roman"/>
          <w:color w:val="auto"/>
          <w:sz w:val="22"/>
          <w:szCs w:val="22"/>
        </w:rPr>
        <w:t>NAKNADE ZA PRIJEVOZ, ZA RAD NA TERENU I ODVOJENI ŽIVOT</w:t>
      </w:r>
      <w:r w:rsidR="002C0B0D" w:rsidRPr="00FA7F54">
        <w:rPr>
          <w:rFonts w:ascii="Times New Roman" w:hAnsi="Times New Roman" w:cs="Times New Roman"/>
          <w:color w:val="auto"/>
          <w:sz w:val="22"/>
          <w:szCs w:val="22"/>
        </w:rPr>
        <w:t xml:space="preserve"> (3212)</w:t>
      </w:r>
      <w:bookmarkEnd w:id="20"/>
      <w:bookmarkEnd w:id="21"/>
    </w:p>
    <w:p w:rsidR="00302028" w:rsidRPr="00FA7F54" w:rsidRDefault="007A1BD6" w:rsidP="007111B1">
      <w:pPr>
        <w:spacing w:line="240" w:lineRule="auto"/>
        <w:jc w:val="both"/>
        <w:rPr>
          <w:rFonts w:ascii="Times New Roman" w:hAnsi="Times New Roman" w:cs="Times New Roman"/>
        </w:rPr>
      </w:pPr>
      <w:r w:rsidRPr="00FA7F54">
        <w:rPr>
          <w:rFonts w:ascii="Times New Roman" w:eastAsia="Times New Roman" w:hAnsi="Times New Roman" w:cs="Times New Roman"/>
          <w:color w:val="000000"/>
        </w:rPr>
        <w:t>Unutar državne i javnih službi postoje različite kategorije zaposlenih, a njihova prava i obveze, pa tako i pravo na plaću i druga materijalna prava, uređeni su različitim propisima.</w:t>
      </w:r>
      <w:r w:rsidRPr="00FA7F54">
        <w:rPr>
          <w:rFonts w:ascii="Times New Roman" w:hAnsi="Times New Roman" w:cs="Times New Roman"/>
        </w:rPr>
        <w:t xml:space="preserve"> </w:t>
      </w:r>
      <w:r w:rsidR="00175CDF" w:rsidRPr="00FA7F54">
        <w:rPr>
          <w:rFonts w:ascii="Times New Roman" w:hAnsi="Times New Roman" w:cs="Times New Roman"/>
        </w:rPr>
        <w:t>Pravo na naknade za prijevoz na posao i s posla</w:t>
      </w:r>
      <w:r w:rsidR="009569D9" w:rsidRPr="00FA7F54">
        <w:rPr>
          <w:rFonts w:ascii="Times New Roman" w:hAnsi="Times New Roman" w:cs="Times New Roman"/>
        </w:rPr>
        <w:t>,</w:t>
      </w:r>
      <w:r w:rsidR="00175CDF" w:rsidRPr="00FA7F54">
        <w:rPr>
          <w:rFonts w:ascii="Times New Roman" w:hAnsi="Times New Roman" w:cs="Times New Roman"/>
        </w:rPr>
        <w:t xml:space="preserve"> za rad na terenu</w:t>
      </w:r>
      <w:r w:rsidR="009569D9" w:rsidRPr="00FA7F54">
        <w:rPr>
          <w:rFonts w:ascii="Times New Roman" w:hAnsi="Times New Roman" w:cs="Times New Roman"/>
        </w:rPr>
        <w:t xml:space="preserve"> i odvojeni život</w:t>
      </w:r>
      <w:r w:rsidR="00175CDF" w:rsidRPr="00FA7F54">
        <w:rPr>
          <w:rFonts w:ascii="Times New Roman" w:hAnsi="Times New Roman" w:cs="Times New Roman"/>
        </w:rPr>
        <w:t xml:space="preserve"> zaposlenici državnih i javnih službi ostvaruju sukladno pravima koja su ugovorena kolektivnim ugovorima zbog čega se većinom </w:t>
      </w:r>
      <w:r w:rsidR="002206A4" w:rsidRPr="00FA7F54">
        <w:rPr>
          <w:rFonts w:ascii="Times New Roman" w:hAnsi="Times New Roman" w:cs="Times New Roman"/>
        </w:rPr>
        <w:t xml:space="preserve">radi </w:t>
      </w:r>
      <w:r w:rsidR="00175CDF" w:rsidRPr="00FA7F54">
        <w:rPr>
          <w:rFonts w:ascii="Times New Roman" w:hAnsi="Times New Roman" w:cs="Times New Roman"/>
        </w:rPr>
        <w:t>o</w:t>
      </w:r>
      <w:r w:rsidR="00302028" w:rsidRPr="00FA7F54">
        <w:rPr>
          <w:rFonts w:ascii="Times New Roman" w:hAnsi="Times New Roman" w:cs="Times New Roman"/>
        </w:rPr>
        <w:t xml:space="preserve"> </w:t>
      </w:r>
      <w:proofErr w:type="spellStart"/>
      <w:r w:rsidR="00302028" w:rsidRPr="00FA7F54">
        <w:rPr>
          <w:rFonts w:ascii="Times New Roman" w:hAnsi="Times New Roman" w:cs="Times New Roman"/>
        </w:rPr>
        <w:t>nekontr</w:t>
      </w:r>
      <w:r w:rsidR="00976C42">
        <w:rPr>
          <w:rFonts w:ascii="Times New Roman" w:hAnsi="Times New Roman" w:cs="Times New Roman"/>
        </w:rPr>
        <w:t>o</w:t>
      </w:r>
      <w:r w:rsidR="00302028" w:rsidRPr="00FA7F54">
        <w:rPr>
          <w:rFonts w:ascii="Times New Roman" w:hAnsi="Times New Roman" w:cs="Times New Roman"/>
        </w:rPr>
        <w:t>labilnim</w:t>
      </w:r>
      <w:proofErr w:type="spellEnd"/>
      <w:r w:rsidR="00175CDF" w:rsidRPr="00FA7F54">
        <w:rPr>
          <w:rFonts w:ascii="Times New Roman" w:hAnsi="Times New Roman" w:cs="Times New Roman"/>
        </w:rPr>
        <w:t xml:space="preserve"> troškovima</w:t>
      </w:r>
      <w:r w:rsidR="00302028" w:rsidRPr="00FA7F54">
        <w:rPr>
          <w:rFonts w:ascii="Times New Roman" w:hAnsi="Times New Roman" w:cs="Times New Roman"/>
        </w:rPr>
        <w:t xml:space="preserve"> odnosno troškovima</w:t>
      </w:r>
      <w:r w:rsidR="000D136A" w:rsidRPr="00FA7F54">
        <w:rPr>
          <w:rFonts w:ascii="Times New Roman" w:hAnsi="Times New Roman" w:cs="Times New Roman"/>
        </w:rPr>
        <w:t xml:space="preserve"> na čiju visinu</w:t>
      </w:r>
      <w:r w:rsidR="00FE7227" w:rsidRPr="00FA7F54">
        <w:rPr>
          <w:rFonts w:ascii="Times New Roman" w:hAnsi="Times New Roman" w:cs="Times New Roman"/>
        </w:rPr>
        <w:t xml:space="preserve"> rukovoditelji ne mogu utjecati (osim uzeti tu činjenicu u obzir kod zapošljavanja).</w:t>
      </w:r>
      <w:r w:rsidR="002206A4" w:rsidRPr="00FA7F54">
        <w:rPr>
          <w:rFonts w:ascii="Times New Roman" w:hAnsi="Times New Roman" w:cs="Times New Roman"/>
        </w:rPr>
        <w:t xml:space="preserve"> </w:t>
      </w:r>
      <w:r w:rsidR="0096753F" w:rsidRPr="00FA7F54">
        <w:rPr>
          <w:rFonts w:ascii="Times New Roman" w:hAnsi="Times New Roman" w:cs="Times New Roman"/>
        </w:rPr>
        <w:t>Međutim, standardni trošak dobro je utvrditi radi ostalih korisnika proračunskih sredstava koji navedena prava ostvaruju temeljem internih akata.</w:t>
      </w:r>
    </w:p>
    <w:p w:rsidR="003C27F8" w:rsidRPr="00FA7F54" w:rsidRDefault="003C27F8" w:rsidP="007111B1">
      <w:pPr>
        <w:spacing w:line="240" w:lineRule="auto"/>
        <w:jc w:val="both"/>
        <w:rPr>
          <w:rFonts w:ascii="Times New Roman" w:hAnsi="Times New Roman" w:cs="Times New Roman"/>
        </w:rPr>
      </w:pPr>
      <w:r w:rsidRPr="00FA7F54">
        <w:rPr>
          <w:rFonts w:ascii="Times New Roman" w:hAnsi="Times New Roman" w:cs="Times New Roman"/>
        </w:rPr>
        <w:t xml:space="preserve">Prema iskazanim podacima u financijskim izvještajima naknade za prijevoz, za rad na terenu i odvojeni život </w:t>
      </w:r>
      <w:r w:rsidR="00E13009" w:rsidRPr="00FA7F54">
        <w:rPr>
          <w:rFonts w:ascii="Times New Roman" w:hAnsi="Times New Roman" w:cs="Times New Roman"/>
        </w:rPr>
        <w:t>u 2013. godini iznosile su 985,7 mil. kuna, a u 2014. godini 814,2</w:t>
      </w:r>
      <w:r w:rsidRPr="00FA7F54">
        <w:rPr>
          <w:rFonts w:ascii="Times New Roman" w:hAnsi="Times New Roman" w:cs="Times New Roman"/>
        </w:rPr>
        <w:t xml:space="preserve"> mil. kuna. Razlog navedenog smanjenja rezultat je smanjenih prava iz </w:t>
      </w:r>
      <w:proofErr w:type="spellStart"/>
      <w:r w:rsidRPr="00FA7F54">
        <w:rPr>
          <w:rFonts w:ascii="Times New Roman" w:hAnsi="Times New Roman" w:cs="Times New Roman"/>
        </w:rPr>
        <w:t>novozaključenih</w:t>
      </w:r>
      <w:proofErr w:type="spellEnd"/>
      <w:r w:rsidRPr="00FA7F54">
        <w:rPr>
          <w:rFonts w:ascii="Times New Roman" w:hAnsi="Times New Roman" w:cs="Times New Roman"/>
        </w:rPr>
        <w:t xml:space="preserve"> kolektivnih ugovora za javne službe. </w:t>
      </w:r>
    </w:p>
    <w:p w:rsidR="00676A55" w:rsidRPr="00976C42" w:rsidRDefault="009835A2" w:rsidP="006B7B79">
      <w:pPr>
        <w:pStyle w:val="Opisslike"/>
        <w:spacing w:after="0"/>
        <w:jc w:val="both"/>
        <w:rPr>
          <w:rFonts w:ascii="Times New Roman" w:hAnsi="Times New Roman" w:cs="Times New Roman"/>
          <w:sz w:val="20"/>
          <w:szCs w:val="20"/>
        </w:rPr>
      </w:pPr>
      <w:bookmarkStart w:id="22" w:name="_Toc436402255"/>
      <w:r w:rsidRPr="006B7B79">
        <w:rPr>
          <w:rFonts w:ascii="Times New Roman" w:hAnsi="Times New Roman" w:cs="Times New Roman"/>
          <w:sz w:val="20"/>
          <w:szCs w:val="20"/>
        </w:rPr>
        <w:lastRenderedPageBreak/>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8</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 xml:space="preserve">: </w:t>
      </w:r>
      <w:r w:rsidR="0084095F" w:rsidRPr="006B7B79">
        <w:rPr>
          <w:rFonts w:ascii="Times New Roman" w:hAnsi="Times New Roman" w:cs="Times New Roman"/>
          <w:sz w:val="20"/>
          <w:szCs w:val="20"/>
        </w:rPr>
        <w:t xml:space="preserve">Naknade za prijevoz, za rad na terenu i odvojeni život prema podacima iskazanim u financijskim izvještajima proračunskih i izvanproračunskih korisnika za 2013. i 2014. </w:t>
      </w:r>
      <w:r w:rsidR="00984E0D" w:rsidRPr="006B7B79">
        <w:rPr>
          <w:rFonts w:ascii="Times New Roman" w:hAnsi="Times New Roman" w:cs="Times New Roman"/>
          <w:sz w:val="20"/>
          <w:szCs w:val="20"/>
        </w:rPr>
        <w:t>g</w:t>
      </w:r>
      <w:r w:rsidR="0084095F" w:rsidRPr="006B7B79">
        <w:rPr>
          <w:rFonts w:ascii="Times New Roman" w:hAnsi="Times New Roman" w:cs="Times New Roman"/>
          <w:sz w:val="20"/>
          <w:szCs w:val="20"/>
        </w:rPr>
        <w:t>odinu</w:t>
      </w:r>
      <w:r w:rsidR="00984E0D" w:rsidRPr="006B7B79">
        <w:rPr>
          <w:rFonts w:ascii="Times New Roman" w:hAnsi="Times New Roman" w:cs="Times New Roman"/>
          <w:sz w:val="20"/>
          <w:szCs w:val="20"/>
        </w:rPr>
        <w:t xml:space="preserve"> te planu Državnog proračuna za 2015. godinu</w:t>
      </w:r>
      <w:bookmarkEnd w:id="22"/>
    </w:p>
    <w:p w:rsidR="00A41863" w:rsidRPr="00FA7F54" w:rsidRDefault="00C147B7" w:rsidP="007111B1">
      <w:pPr>
        <w:spacing w:line="240" w:lineRule="auto"/>
        <w:jc w:val="both"/>
        <w:rPr>
          <w:rFonts w:ascii="Times New Roman" w:hAnsi="Times New Roman" w:cs="Times New Roman"/>
        </w:rPr>
      </w:pPr>
      <w:r w:rsidRPr="00FA7F54">
        <w:rPr>
          <w:noProof/>
          <w:lang w:eastAsia="hr-HR"/>
        </w:rPr>
        <w:drawing>
          <wp:inline distT="0" distB="0" distL="0" distR="0" wp14:anchorId="142137A0" wp14:editId="595FA215">
            <wp:extent cx="5760720" cy="2810466"/>
            <wp:effectExtent l="0" t="0" r="0" b="9525"/>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810466"/>
                    </a:xfrm>
                    <a:prstGeom prst="rect">
                      <a:avLst/>
                    </a:prstGeom>
                    <a:noFill/>
                    <a:ln>
                      <a:noFill/>
                    </a:ln>
                  </pic:spPr>
                </pic:pic>
              </a:graphicData>
            </a:graphic>
          </wp:inline>
        </w:drawing>
      </w:r>
    </w:p>
    <w:p w:rsidR="00D51DCA" w:rsidRPr="00FA7F54" w:rsidRDefault="00D51DCA" w:rsidP="00D51DCA">
      <w:pPr>
        <w:spacing w:line="240" w:lineRule="auto"/>
        <w:jc w:val="both"/>
        <w:rPr>
          <w:rFonts w:ascii="Times New Roman" w:hAnsi="Times New Roman" w:cs="Times New Roman"/>
        </w:rPr>
      </w:pPr>
      <w:r w:rsidRPr="00FA7F54">
        <w:rPr>
          <w:rFonts w:ascii="Times New Roman" w:hAnsi="Times New Roman" w:cs="Times New Roman"/>
        </w:rPr>
        <w:t xml:space="preserve">Od ukupno 705,5 mil. kuna izvršenih naknada u državnom proračunu za 2014. </w:t>
      </w:r>
      <w:r w:rsidR="00B7171A">
        <w:rPr>
          <w:rFonts w:ascii="Times New Roman" w:hAnsi="Times New Roman" w:cs="Times New Roman"/>
        </w:rPr>
        <w:t>g</w:t>
      </w:r>
      <w:r w:rsidRPr="00FA7F54">
        <w:rPr>
          <w:rFonts w:ascii="Times New Roman" w:hAnsi="Times New Roman" w:cs="Times New Roman"/>
        </w:rPr>
        <w:t>odinu</w:t>
      </w:r>
      <w:r w:rsidR="00B7171A">
        <w:rPr>
          <w:rFonts w:ascii="Times New Roman" w:hAnsi="Times New Roman" w:cs="Times New Roman"/>
        </w:rPr>
        <w:t>,</w:t>
      </w:r>
      <w:r w:rsidRPr="00FA7F54">
        <w:rPr>
          <w:rFonts w:ascii="Times New Roman" w:hAnsi="Times New Roman" w:cs="Times New Roman"/>
        </w:rPr>
        <w:t xml:space="preserve"> samo 4,5 mil. financirano je iz vlastitih i namjenskih prihoda dok je u 2015. godini, s uključivanjem vlastitih i namjenskih prihoda planirano 787,7 mil. kuna uz istovremeno smanjenje naknada koje se financiraju iz izvora u limitu (681,3 mil. kuna).</w:t>
      </w:r>
    </w:p>
    <w:p w:rsidR="00BC48FD" w:rsidRPr="00FA7F54" w:rsidRDefault="00D51DCA" w:rsidP="007111B1">
      <w:pPr>
        <w:spacing w:line="240" w:lineRule="auto"/>
        <w:jc w:val="both"/>
        <w:rPr>
          <w:rFonts w:ascii="Times New Roman" w:hAnsi="Times New Roman" w:cs="Times New Roman"/>
        </w:rPr>
      </w:pPr>
      <w:r w:rsidRPr="00FA7F54">
        <w:rPr>
          <w:rFonts w:ascii="Times New Roman" w:hAnsi="Times New Roman" w:cs="Times New Roman"/>
        </w:rPr>
        <w:t>Naknade za odvojeni život izvršene su u visini 6,</w:t>
      </w:r>
      <w:proofErr w:type="spellStart"/>
      <w:r w:rsidRPr="00FA7F54">
        <w:rPr>
          <w:rFonts w:ascii="Times New Roman" w:hAnsi="Times New Roman" w:cs="Times New Roman"/>
        </w:rPr>
        <w:t>6</w:t>
      </w:r>
      <w:proofErr w:type="spellEnd"/>
      <w:r w:rsidRPr="00FA7F54">
        <w:rPr>
          <w:rFonts w:ascii="Times New Roman" w:hAnsi="Times New Roman" w:cs="Times New Roman"/>
        </w:rPr>
        <w:t xml:space="preserve"> mil. kuna od čega se na Ministarstvo obrane odnosi 4,6 mil., a 1 mil. kuna na Hrvatski sabor. Naknade za rad na terenu izvršene su u visini 115,4 mil. kuna od čega se najveći dio odnosi na Ministarstvo obrane (102,1 mil. kuna NATO operacije) i MUP (10,3 mil. kuna).</w:t>
      </w:r>
    </w:p>
    <w:p w:rsidR="00BE0D84" w:rsidRPr="00976C42" w:rsidRDefault="009835A2" w:rsidP="006B7B79">
      <w:pPr>
        <w:pStyle w:val="Opisslike"/>
        <w:spacing w:after="0"/>
        <w:jc w:val="both"/>
        <w:rPr>
          <w:rFonts w:ascii="Times New Roman" w:hAnsi="Times New Roman" w:cs="Times New Roman"/>
          <w:sz w:val="20"/>
          <w:szCs w:val="20"/>
        </w:rPr>
      </w:pPr>
      <w:bookmarkStart w:id="23" w:name="_Toc436402256"/>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9</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 xml:space="preserve">: </w:t>
      </w:r>
      <w:r w:rsidR="004848B9" w:rsidRPr="006B7B79">
        <w:rPr>
          <w:rFonts w:ascii="Times New Roman" w:hAnsi="Times New Roman" w:cs="Times New Roman"/>
          <w:sz w:val="20"/>
          <w:szCs w:val="20"/>
        </w:rPr>
        <w:t xml:space="preserve">Naknade za prijevoz, za rad na terenu i odvojeni život prema podacima iskazanim u državnom proračunu – </w:t>
      </w:r>
      <w:r w:rsidR="00BE0D84" w:rsidRPr="006B7B79">
        <w:rPr>
          <w:rFonts w:ascii="Times New Roman" w:hAnsi="Times New Roman" w:cs="Times New Roman"/>
          <w:sz w:val="20"/>
          <w:szCs w:val="20"/>
        </w:rPr>
        <w:t>izvršenje za 2014. (u mil.</w:t>
      </w:r>
      <w:r w:rsidR="00976C42">
        <w:rPr>
          <w:rFonts w:ascii="Times New Roman" w:hAnsi="Times New Roman" w:cs="Times New Roman"/>
          <w:sz w:val="20"/>
          <w:szCs w:val="20"/>
        </w:rPr>
        <w:t xml:space="preserve"> kuna</w:t>
      </w:r>
      <w:r w:rsidR="00BE0D84" w:rsidRPr="006B7B79">
        <w:rPr>
          <w:rFonts w:ascii="Times New Roman" w:hAnsi="Times New Roman" w:cs="Times New Roman"/>
          <w:sz w:val="20"/>
          <w:szCs w:val="20"/>
        </w:rPr>
        <w:t>)</w:t>
      </w:r>
      <w:bookmarkEnd w:id="23"/>
    </w:p>
    <w:tbl>
      <w:tblPr>
        <w:tblW w:w="7245" w:type="dxa"/>
        <w:jc w:val="center"/>
        <w:tblInd w:w="93" w:type="dxa"/>
        <w:tblLook w:val="04A0" w:firstRow="1" w:lastRow="0" w:firstColumn="1" w:lastColumn="0" w:noHBand="0" w:noVBand="1"/>
      </w:tblPr>
      <w:tblGrid>
        <w:gridCol w:w="1360"/>
        <w:gridCol w:w="1774"/>
        <w:gridCol w:w="1418"/>
        <w:gridCol w:w="1275"/>
        <w:gridCol w:w="1418"/>
      </w:tblGrid>
      <w:tr w:rsidR="00BC48FD" w:rsidRPr="004848B9" w:rsidTr="00976C42">
        <w:trPr>
          <w:trHeight w:val="715"/>
          <w:jc w:val="center"/>
        </w:trPr>
        <w:tc>
          <w:tcPr>
            <w:tcW w:w="1360"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BC48FD" w:rsidRPr="004848B9" w:rsidRDefault="00BC48FD" w:rsidP="00BC48FD">
            <w:pPr>
              <w:spacing w:after="0" w:line="240" w:lineRule="auto"/>
              <w:rPr>
                <w:rFonts w:ascii="Arial" w:eastAsia="Times New Roman" w:hAnsi="Arial" w:cs="Arial"/>
                <w:b/>
                <w:bCs/>
                <w:sz w:val="16"/>
                <w:szCs w:val="16"/>
                <w:lang w:eastAsia="hr-HR"/>
              </w:rPr>
            </w:pPr>
            <w:r w:rsidRPr="004848B9">
              <w:rPr>
                <w:rFonts w:ascii="Arial" w:eastAsia="Times New Roman" w:hAnsi="Arial" w:cs="Arial"/>
                <w:b/>
                <w:bCs/>
                <w:sz w:val="16"/>
                <w:szCs w:val="16"/>
                <w:lang w:eastAsia="hr-HR"/>
              </w:rPr>
              <w:t>Izvršenje 2014.</w:t>
            </w:r>
          </w:p>
        </w:tc>
        <w:tc>
          <w:tcPr>
            <w:tcW w:w="1774" w:type="dxa"/>
            <w:tcBorders>
              <w:top w:val="single" w:sz="4" w:space="0" w:color="000080"/>
              <w:left w:val="nil"/>
              <w:bottom w:val="single" w:sz="4" w:space="0" w:color="000080"/>
              <w:right w:val="single" w:sz="4" w:space="0" w:color="000080"/>
            </w:tcBorders>
            <w:shd w:val="clear" w:color="000000" w:fill="DCE6F1"/>
            <w:vAlign w:val="center"/>
            <w:hideMark/>
          </w:tcPr>
          <w:p w:rsidR="00BC48FD" w:rsidRPr="004848B9" w:rsidRDefault="00BC48FD" w:rsidP="00976C42">
            <w:pPr>
              <w:spacing w:after="0" w:line="240" w:lineRule="auto"/>
              <w:jc w:val="center"/>
              <w:rPr>
                <w:rFonts w:ascii="Arial" w:eastAsia="Times New Roman" w:hAnsi="Arial" w:cs="Arial"/>
                <w:color w:val="000000"/>
                <w:sz w:val="16"/>
                <w:szCs w:val="16"/>
                <w:lang w:eastAsia="hr-HR"/>
              </w:rPr>
            </w:pPr>
            <w:r w:rsidRPr="004848B9">
              <w:rPr>
                <w:rFonts w:ascii="Arial" w:eastAsia="Times New Roman" w:hAnsi="Arial" w:cs="Arial"/>
                <w:color w:val="000000"/>
                <w:sz w:val="16"/>
                <w:szCs w:val="16"/>
                <w:lang w:eastAsia="hr-HR"/>
              </w:rPr>
              <w:t>Naknade za prijevoz, za rad na terenu i odvojeni život</w:t>
            </w:r>
          </w:p>
        </w:tc>
        <w:tc>
          <w:tcPr>
            <w:tcW w:w="1418" w:type="dxa"/>
            <w:tcBorders>
              <w:top w:val="single" w:sz="4" w:space="0" w:color="000080"/>
              <w:left w:val="nil"/>
              <w:bottom w:val="single" w:sz="4" w:space="0" w:color="000080"/>
              <w:right w:val="single" w:sz="4" w:space="0" w:color="000080"/>
            </w:tcBorders>
            <w:shd w:val="clear" w:color="000000" w:fill="DCE6F1"/>
            <w:vAlign w:val="center"/>
            <w:hideMark/>
          </w:tcPr>
          <w:p w:rsidR="00BC48FD" w:rsidRPr="004848B9" w:rsidRDefault="00BC48FD" w:rsidP="00976C42">
            <w:pPr>
              <w:spacing w:after="0" w:line="240" w:lineRule="auto"/>
              <w:jc w:val="center"/>
              <w:rPr>
                <w:rFonts w:ascii="Arial" w:eastAsia="Times New Roman" w:hAnsi="Arial" w:cs="Arial"/>
                <w:color w:val="000000"/>
                <w:sz w:val="16"/>
                <w:szCs w:val="16"/>
                <w:lang w:eastAsia="hr-HR"/>
              </w:rPr>
            </w:pPr>
            <w:r w:rsidRPr="004848B9">
              <w:rPr>
                <w:rFonts w:ascii="Arial" w:eastAsia="Times New Roman" w:hAnsi="Arial" w:cs="Arial"/>
                <w:color w:val="000000"/>
                <w:sz w:val="16"/>
                <w:szCs w:val="16"/>
                <w:lang w:eastAsia="hr-HR"/>
              </w:rPr>
              <w:t>Naknade za prijevoz na posao i s posla</w:t>
            </w:r>
          </w:p>
        </w:tc>
        <w:tc>
          <w:tcPr>
            <w:tcW w:w="1275" w:type="dxa"/>
            <w:tcBorders>
              <w:top w:val="single" w:sz="4" w:space="0" w:color="000080"/>
              <w:left w:val="nil"/>
              <w:bottom w:val="single" w:sz="4" w:space="0" w:color="000080"/>
              <w:right w:val="single" w:sz="4" w:space="0" w:color="000080"/>
            </w:tcBorders>
            <w:shd w:val="clear" w:color="000000" w:fill="DCE6F1"/>
            <w:vAlign w:val="center"/>
            <w:hideMark/>
          </w:tcPr>
          <w:p w:rsidR="00BC48FD" w:rsidRPr="004848B9" w:rsidRDefault="00BC48FD" w:rsidP="00976C42">
            <w:pPr>
              <w:spacing w:after="0" w:line="240" w:lineRule="auto"/>
              <w:jc w:val="center"/>
              <w:rPr>
                <w:rFonts w:ascii="Arial" w:eastAsia="Times New Roman" w:hAnsi="Arial" w:cs="Arial"/>
                <w:color w:val="000000"/>
                <w:sz w:val="16"/>
                <w:szCs w:val="16"/>
                <w:lang w:eastAsia="hr-HR"/>
              </w:rPr>
            </w:pPr>
            <w:r w:rsidRPr="004848B9">
              <w:rPr>
                <w:rFonts w:ascii="Arial" w:eastAsia="Times New Roman" w:hAnsi="Arial" w:cs="Arial"/>
                <w:color w:val="000000"/>
                <w:sz w:val="16"/>
                <w:szCs w:val="16"/>
                <w:lang w:eastAsia="hr-HR"/>
              </w:rPr>
              <w:t>Naknade za rad na terenu</w:t>
            </w:r>
          </w:p>
        </w:tc>
        <w:tc>
          <w:tcPr>
            <w:tcW w:w="1418" w:type="dxa"/>
            <w:tcBorders>
              <w:top w:val="single" w:sz="4" w:space="0" w:color="000080"/>
              <w:left w:val="nil"/>
              <w:bottom w:val="single" w:sz="4" w:space="0" w:color="000080"/>
              <w:right w:val="single" w:sz="4" w:space="0" w:color="000080"/>
            </w:tcBorders>
            <w:shd w:val="clear" w:color="000000" w:fill="DCE6F1"/>
            <w:vAlign w:val="center"/>
            <w:hideMark/>
          </w:tcPr>
          <w:p w:rsidR="00BC48FD" w:rsidRPr="004848B9" w:rsidRDefault="00BC48FD" w:rsidP="00976C42">
            <w:pPr>
              <w:spacing w:after="0" w:line="240" w:lineRule="auto"/>
              <w:jc w:val="center"/>
              <w:rPr>
                <w:rFonts w:ascii="Arial" w:eastAsia="Times New Roman" w:hAnsi="Arial" w:cs="Arial"/>
                <w:color w:val="000000"/>
                <w:sz w:val="16"/>
                <w:szCs w:val="16"/>
                <w:lang w:eastAsia="hr-HR"/>
              </w:rPr>
            </w:pPr>
            <w:r w:rsidRPr="004848B9">
              <w:rPr>
                <w:rFonts w:ascii="Arial" w:eastAsia="Times New Roman" w:hAnsi="Arial" w:cs="Arial"/>
                <w:color w:val="000000"/>
                <w:sz w:val="16"/>
                <w:szCs w:val="16"/>
                <w:lang w:eastAsia="hr-HR"/>
              </w:rPr>
              <w:t>Naknade za odvojeni život</w:t>
            </w:r>
          </w:p>
        </w:tc>
      </w:tr>
      <w:tr w:rsidR="00BC48FD" w:rsidRPr="004848B9" w:rsidTr="00976C42">
        <w:trPr>
          <w:trHeight w:val="300"/>
          <w:jc w:val="center"/>
        </w:trPr>
        <w:tc>
          <w:tcPr>
            <w:tcW w:w="1360" w:type="dxa"/>
            <w:tcBorders>
              <w:top w:val="nil"/>
              <w:left w:val="single" w:sz="4" w:space="0" w:color="000080"/>
              <w:bottom w:val="single" w:sz="4" w:space="0" w:color="000080"/>
              <w:right w:val="single" w:sz="4" w:space="0" w:color="000080"/>
            </w:tcBorders>
            <w:shd w:val="clear" w:color="000000" w:fill="DCE6F1"/>
            <w:noWrap/>
            <w:vAlign w:val="center"/>
            <w:hideMark/>
          </w:tcPr>
          <w:p w:rsidR="00BC48FD" w:rsidRPr="004848B9" w:rsidRDefault="00BC48FD" w:rsidP="004848B9">
            <w:pPr>
              <w:spacing w:after="0" w:line="240" w:lineRule="auto"/>
              <w:ind w:firstLineChars="200" w:firstLine="320"/>
              <w:rPr>
                <w:rFonts w:ascii="Arial" w:eastAsia="Times New Roman" w:hAnsi="Arial" w:cs="Arial"/>
                <w:sz w:val="16"/>
                <w:szCs w:val="16"/>
                <w:lang w:eastAsia="hr-HR"/>
              </w:rPr>
            </w:pPr>
            <w:r w:rsidRPr="004848B9">
              <w:rPr>
                <w:rFonts w:ascii="Arial" w:eastAsia="Times New Roman" w:hAnsi="Arial" w:cs="Arial"/>
                <w:sz w:val="16"/>
                <w:szCs w:val="16"/>
                <w:lang w:eastAsia="hr-HR"/>
              </w:rPr>
              <w:t>- Ukupno</w:t>
            </w:r>
          </w:p>
        </w:tc>
        <w:tc>
          <w:tcPr>
            <w:tcW w:w="1774" w:type="dxa"/>
            <w:tcBorders>
              <w:top w:val="nil"/>
              <w:left w:val="nil"/>
              <w:bottom w:val="single" w:sz="4" w:space="0" w:color="000080"/>
              <w:right w:val="single" w:sz="4" w:space="0" w:color="000080"/>
            </w:tcBorders>
            <w:shd w:val="clear" w:color="000000" w:fill="DCE6F1"/>
            <w:noWrap/>
            <w:vAlign w:val="center"/>
            <w:hideMark/>
          </w:tcPr>
          <w:p w:rsidR="00BC48FD" w:rsidRPr="004848B9" w:rsidRDefault="00BC48FD" w:rsidP="00BC48FD">
            <w:pPr>
              <w:spacing w:after="0" w:line="240" w:lineRule="auto"/>
              <w:jc w:val="right"/>
              <w:rPr>
                <w:rFonts w:ascii="Arial" w:eastAsia="Times New Roman" w:hAnsi="Arial" w:cs="Arial"/>
                <w:color w:val="000000"/>
                <w:sz w:val="16"/>
                <w:szCs w:val="16"/>
                <w:lang w:eastAsia="hr-HR"/>
              </w:rPr>
            </w:pPr>
            <w:r w:rsidRPr="004848B9">
              <w:rPr>
                <w:rFonts w:ascii="Arial" w:eastAsia="Times New Roman" w:hAnsi="Arial" w:cs="Arial"/>
                <w:color w:val="000000"/>
                <w:sz w:val="16"/>
                <w:szCs w:val="16"/>
                <w:lang w:eastAsia="hr-HR"/>
              </w:rPr>
              <w:t>705,531</w:t>
            </w:r>
          </w:p>
        </w:tc>
        <w:tc>
          <w:tcPr>
            <w:tcW w:w="1418" w:type="dxa"/>
            <w:tcBorders>
              <w:top w:val="nil"/>
              <w:left w:val="nil"/>
              <w:bottom w:val="single" w:sz="4" w:space="0" w:color="000080"/>
              <w:right w:val="single" w:sz="4" w:space="0" w:color="000080"/>
            </w:tcBorders>
            <w:shd w:val="clear" w:color="000000" w:fill="DCE6F1"/>
            <w:noWrap/>
            <w:vAlign w:val="center"/>
            <w:hideMark/>
          </w:tcPr>
          <w:p w:rsidR="00BC48FD" w:rsidRPr="004848B9" w:rsidRDefault="00BC48FD" w:rsidP="00BC48FD">
            <w:pPr>
              <w:spacing w:after="0" w:line="240" w:lineRule="auto"/>
              <w:jc w:val="right"/>
              <w:rPr>
                <w:rFonts w:ascii="Arial" w:eastAsia="Times New Roman" w:hAnsi="Arial" w:cs="Arial"/>
                <w:color w:val="000000"/>
                <w:sz w:val="16"/>
                <w:szCs w:val="16"/>
                <w:lang w:eastAsia="hr-HR"/>
              </w:rPr>
            </w:pPr>
            <w:r w:rsidRPr="004848B9">
              <w:rPr>
                <w:rFonts w:ascii="Arial" w:eastAsia="Times New Roman" w:hAnsi="Arial" w:cs="Arial"/>
                <w:color w:val="000000"/>
                <w:sz w:val="16"/>
                <w:szCs w:val="16"/>
                <w:lang w:eastAsia="hr-HR"/>
              </w:rPr>
              <w:t>583,486</w:t>
            </w:r>
          </w:p>
        </w:tc>
        <w:tc>
          <w:tcPr>
            <w:tcW w:w="1275" w:type="dxa"/>
            <w:tcBorders>
              <w:top w:val="nil"/>
              <w:left w:val="nil"/>
              <w:bottom w:val="single" w:sz="4" w:space="0" w:color="000080"/>
              <w:right w:val="single" w:sz="4" w:space="0" w:color="000080"/>
            </w:tcBorders>
            <w:shd w:val="clear" w:color="000000" w:fill="DCE6F1"/>
            <w:noWrap/>
            <w:vAlign w:val="center"/>
            <w:hideMark/>
          </w:tcPr>
          <w:p w:rsidR="00BC48FD" w:rsidRPr="004848B9" w:rsidRDefault="00BC48FD" w:rsidP="00BC48FD">
            <w:pPr>
              <w:spacing w:after="0" w:line="240" w:lineRule="auto"/>
              <w:jc w:val="right"/>
              <w:rPr>
                <w:rFonts w:ascii="Arial" w:eastAsia="Times New Roman" w:hAnsi="Arial" w:cs="Arial"/>
                <w:color w:val="000000"/>
                <w:sz w:val="16"/>
                <w:szCs w:val="16"/>
                <w:lang w:eastAsia="hr-HR"/>
              </w:rPr>
            </w:pPr>
            <w:r w:rsidRPr="004848B9">
              <w:rPr>
                <w:rFonts w:ascii="Arial" w:eastAsia="Times New Roman" w:hAnsi="Arial" w:cs="Arial"/>
                <w:color w:val="000000"/>
                <w:sz w:val="16"/>
                <w:szCs w:val="16"/>
                <w:lang w:eastAsia="hr-HR"/>
              </w:rPr>
              <w:t>115,382</w:t>
            </w:r>
          </w:p>
        </w:tc>
        <w:tc>
          <w:tcPr>
            <w:tcW w:w="1418" w:type="dxa"/>
            <w:tcBorders>
              <w:top w:val="nil"/>
              <w:left w:val="nil"/>
              <w:bottom w:val="single" w:sz="4" w:space="0" w:color="000080"/>
              <w:right w:val="single" w:sz="4" w:space="0" w:color="000080"/>
            </w:tcBorders>
            <w:shd w:val="clear" w:color="000000" w:fill="DCE6F1"/>
            <w:noWrap/>
            <w:vAlign w:val="center"/>
            <w:hideMark/>
          </w:tcPr>
          <w:p w:rsidR="00BC48FD" w:rsidRPr="004848B9" w:rsidRDefault="00BC48FD" w:rsidP="00BC48FD">
            <w:pPr>
              <w:spacing w:after="0" w:line="240" w:lineRule="auto"/>
              <w:jc w:val="right"/>
              <w:rPr>
                <w:rFonts w:ascii="Arial" w:eastAsia="Times New Roman" w:hAnsi="Arial" w:cs="Arial"/>
                <w:color w:val="000000"/>
                <w:sz w:val="16"/>
                <w:szCs w:val="16"/>
                <w:lang w:eastAsia="hr-HR"/>
              </w:rPr>
            </w:pPr>
            <w:r w:rsidRPr="004848B9">
              <w:rPr>
                <w:rFonts w:ascii="Arial" w:eastAsia="Times New Roman" w:hAnsi="Arial" w:cs="Arial"/>
                <w:color w:val="000000"/>
                <w:sz w:val="16"/>
                <w:szCs w:val="16"/>
                <w:lang w:eastAsia="hr-HR"/>
              </w:rPr>
              <w:t>6,663</w:t>
            </w:r>
          </w:p>
        </w:tc>
      </w:tr>
      <w:tr w:rsidR="00BC48FD" w:rsidRPr="004848B9" w:rsidTr="00976C42">
        <w:trPr>
          <w:trHeight w:val="300"/>
          <w:jc w:val="center"/>
        </w:trPr>
        <w:tc>
          <w:tcPr>
            <w:tcW w:w="1360" w:type="dxa"/>
            <w:tcBorders>
              <w:top w:val="nil"/>
              <w:left w:val="single" w:sz="4" w:space="0" w:color="000080"/>
              <w:bottom w:val="single" w:sz="4" w:space="0" w:color="000080"/>
              <w:right w:val="single" w:sz="4" w:space="0" w:color="000080"/>
            </w:tcBorders>
            <w:shd w:val="clear" w:color="auto" w:fill="auto"/>
            <w:noWrap/>
            <w:vAlign w:val="center"/>
            <w:hideMark/>
          </w:tcPr>
          <w:p w:rsidR="00BC48FD" w:rsidRPr="004848B9" w:rsidRDefault="00BC48FD" w:rsidP="004848B9">
            <w:pPr>
              <w:spacing w:after="0" w:line="240" w:lineRule="auto"/>
              <w:ind w:firstLineChars="200" w:firstLine="320"/>
              <w:rPr>
                <w:rFonts w:ascii="Arial" w:eastAsia="Times New Roman" w:hAnsi="Arial" w:cs="Arial"/>
                <w:sz w:val="16"/>
                <w:szCs w:val="16"/>
                <w:lang w:eastAsia="hr-HR"/>
              </w:rPr>
            </w:pPr>
            <w:r w:rsidRPr="004848B9">
              <w:rPr>
                <w:rFonts w:ascii="Arial" w:eastAsia="Times New Roman" w:hAnsi="Arial" w:cs="Arial"/>
                <w:sz w:val="16"/>
                <w:szCs w:val="16"/>
                <w:lang w:eastAsia="hr-HR"/>
              </w:rPr>
              <w:t>- 1+2+8</w:t>
            </w:r>
          </w:p>
        </w:tc>
        <w:tc>
          <w:tcPr>
            <w:tcW w:w="1774" w:type="dxa"/>
            <w:tcBorders>
              <w:top w:val="nil"/>
              <w:left w:val="nil"/>
              <w:bottom w:val="single" w:sz="4" w:space="0" w:color="000080"/>
              <w:right w:val="single" w:sz="4" w:space="0" w:color="000080"/>
            </w:tcBorders>
            <w:shd w:val="clear" w:color="auto" w:fill="auto"/>
            <w:noWrap/>
            <w:vAlign w:val="center"/>
            <w:hideMark/>
          </w:tcPr>
          <w:p w:rsidR="00BC48FD" w:rsidRPr="004848B9" w:rsidRDefault="00BC48FD" w:rsidP="00BC48FD">
            <w:pPr>
              <w:spacing w:after="0" w:line="240" w:lineRule="auto"/>
              <w:jc w:val="right"/>
              <w:rPr>
                <w:rFonts w:ascii="Arial" w:eastAsia="Times New Roman" w:hAnsi="Arial" w:cs="Arial"/>
                <w:color w:val="000000"/>
                <w:sz w:val="16"/>
                <w:szCs w:val="16"/>
                <w:lang w:eastAsia="hr-HR"/>
              </w:rPr>
            </w:pPr>
            <w:r w:rsidRPr="004848B9">
              <w:rPr>
                <w:rFonts w:ascii="Arial" w:eastAsia="Times New Roman" w:hAnsi="Arial" w:cs="Arial"/>
                <w:color w:val="000000"/>
                <w:sz w:val="16"/>
                <w:szCs w:val="16"/>
                <w:lang w:eastAsia="hr-HR"/>
              </w:rPr>
              <w:t>701,053</w:t>
            </w:r>
          </w:p>
        </w:tc>
        <w:tc>
          <w:tcPr>
            <w:tcW w:w="1418" w:type="dxa"/>
            <w:tcBorders>
              <w:top w:val="nil"/>
              <w:left w:val="nil"/>
              <w:bottom w:val="single" w:sz="4" w:space="0" w:color="000080"/>
              <w:right w:val="single" w:sz="4" w:space="0" w:color="000080"/>
            </w:tcBorders>
            <w:shd w:val="clear" w:color="auto" w:fill="auto"/>
            <w:noWrap/>
            <w:vAlign w:val="center"/>
            <w:hideMark/>
          </w:tcPr>
          <w:p w:rsidR="00BC48FD" w:rsidRPr="004848B9" w:rsidRDefault="00BC48FD" w:rsidP="00BC48FD">
            <w:pPr>
              <w:spacing w:after="0" w:line="240" w:lineRule="auto"/>
              <w:jc w:val="right"/>
              <w:rPr>
                <w:rFonts w:ascii="Arial" w:eastAsia="Times New Roman" w:hAnsi="Arial" w:cs="Arial"/>
                <w:color w:val="000000"/>
                <w:sz w:val="16"/>
                <w:szCs w:val="16"/>
                <w:lang w:eastAsia="hr-HR"/>
              </w:rPr>
            </w:pPr>
            <w:r w:rsidRPr="004848B9">
              <w:rPr>
                <w:rFonts w:ascii="Arial" w:eastAsia="Times New Roman" w:hAnsi="Arial" w:cs="Arial"/>
                <w:color w:val="000000"/>
                <w:sz w:val="16"/>
                <w:szCs w:val="16"/>
                <w:lang w:eastAsia="hr-HR"/>
              </w:rPr>
              <w:t>579,018</w:t>
            </w:r>
          </w:p>
        </w:tc>
        <w:tc>
          <w:tcPr>
            <w:tcW w:w="1275" w:type="dxa"/>
            <w:tcBorders>
              <w:top w:val="nil"/>
              <w:left w:val="nil"/>
              <w:bottom w:val="single" w:sz="4" w:space="0" w:color="000080"/>
              <w:right w:val="single" w:sz="4" w:space="0" w:color="000080"/>
            </w:tcBorders>
            <w:shd w:val="clear" w:color="auto" w:fill="auto"/>
            <w:noWrap/>
            <w:vAlign w:val="center"/>
            <w:hideMark/>
          </w:tcPr>
          <w:p w:rsidR="00BC48FD" w:rsidRPr="004848B9" w:rsidRDefault="00BC48FD" w:rsidP="00BC48FD">
            <w:pPr>
              <w:spacing w:after="0" w:line="240" w:lineRule="auto"/>
              <w:jc w:val="right"/>
              <w:rPr>
                <w:rFonts w:ascii="Arial" w:eastAsia="Times New Roman" w:hAnsi="Arial" w:cs="Arial"/>
                <w:color w:val="000000"/>
                <w:sz w:val="16"/>
                <w:szCs w:val="16"/>
                <w:lang w:eastAsia="hr-HR"/>
              </w:rPr>
            </w:pPr>
            <w:r w:rsidRPr="004848B9">
              <w:rPr>
                <w:rFonts w:ascii="Arial" w:eastAsia="Times New Roman" w:hAnsi="Arial" w:cs="Arial"/>
                <w:color w:val="000000"/>
                <w:sz w:val="16"/>
                <w:szCs w:val="16"/>
                <w:lang w:eastAsia="hr-HR"/>
              </w:rPr>
              <w:t>115,382</w:t>
            </w:r>
          </w:p>
        </w:tc>
        <w:tc>
          <w:tcPr>
            <w:tcW w:w="1418" w:type="dxa"/>
            <w:tcBorders>
              <w:top w:val="nil"/>
              <w:left w:val="nil"/>
              <w:bottom w:val="single" w:sz="4" w:space="0" w:color="000080"/>
              <w:right w:val="single" w:sz="4" w:space="0" w:color="000080"/>
            </w:tcBorders>
            <w:shd w:val="clear" w:color="auto" w:fill="auto"/>
            <w:noWrap/>
            <w:vAlign w:val="center"/>
            <w:hideMark/>
          </w:tcPr>
          <w:p w:rsidR="00BC48FD" w:rsidRPr="004848B9" w:rsidRDefault="00BC48FD" w:rsidP="00BC48FD">
            <w:pPr>
              <w:spacing w:after="0" w:line="240" w:lineRule="auto"/>
              <w:jc w:val="right"/>
              <w:rPr>
                <w:rFonts w:ascii="Arial" w:eastAsia="Times New Roman" w:hAnsi="Arial" w:cs="Arial"/>
                <w:color w:val="000000"/>
                <w:sz w:val="16"/>
                <w:szCs w:val="16"/>
                <w:lang w:eastAsia="hr-HR"/>
              </w:rPr>
            </w:pPr>
            <w:r w:rsidRPr="004848B9">
              <w:rPr>
                <w:rFonts w:ascii="Arial" w:eastAsia="Times New Roman" w:hAnsi="Arial" w:cs="Arial"/>
                <w:color w:val="000000"/>
                <w:sz w:val="16"/>
                <w:szCs w:val="16"/>
                <w:lang w:eastAsia="hr-HR"/>
              </w:rPr>
              <w:t>6,653</w:t>
            </w:r>
          </w:p>
        </w:tc>
      </w:tr>
      <w:tr w:rsidR="00BC48FD" w:rsidRPr="004848B9" w:rsidTr="00976C42">
        <w:trPr>
          <w:trHeight w:val="300"/>
          <w:jc w:val="center"/>
        </w:trPr>
        <w:tc>
          <w:tcPr>
            <w:tcW w:w="1360" w:type="dxa"/>
            <w:tcBorders>
              <w:top w:val="nil"/>
              <w:left w:val="single" w:sz="4" w:space="0" w:color="000080"/>
              <w:bottom w:val="single" w:sz="4" w:space="0" w:color="000080"/>
              <w:right w:val="single" w:sz="4" w:space="0" w:color="000080"/>
            </w:tcBorders>
            <w:shd w:val="clear" w:color="auto" w:fill="auto"/>
            <w:noWrap/>
            <w:vAlign w:val="center"/>
            <w:hideMark/>
          </w:tcPr>
          <w:p w:rsidR="00BC48FD" w:rsidRPr="004848B9" w:rsidRDefault="00552643" w:rsidP="004848B9">
            <w:pPr>
              <w:spacing w:after="0" w:line="240" w:lineRule="auto"/>
              <w:ind w:firstLineChars="200" w:firstLine="320"/>
              <w:rPr>
                <w:rFonts w:ascii="Arial" w:eastAsia="Times New Roman" w:hAnsi="Arial" w:cs="Arial"/>
                <w:sz w:val="16"/>
                <w:szCs w:val="16"/>
                <w:lang w:eastAsia="hr-HR"/>
              </w:rPr>
            </w:pPr>
            <w:r>
              <w:rPr>
                <w:rFonts w:ascii="Arial" w:eastAsia="Times New Roman" w:hAnsi="Arial" w:cs="Arial"/>
                <w:sz w:val="16"/>
                <w:szCs w:val="16"/>
                <w:lang w:eastAsia="hr-HR"/>
              </w:rPr>
              <w:t>- ostali izvo</w:t>
            </w:r>
            <w:r w:rsidR="00976C42">
              <w:rPr>
                <w:rFonts w:ascii="Arial" w:eastAsia="Times New Roman" w:hAnsi="Arial" w:cs="Arial"/>
                <w:sz w:val="16"/>
                <w:szCs w:val="16"/>
                <w:lang w:eastAsia="hr-HR"/>
              </w:rPr>
              <w:t>ri</w:t>
            </w:r>
          </w:p>
        </w:tc>
        <w:tc>
          <w:tcPr>
            <w:tcW w:w="1774" w:type="dxa"/>
            <w:tcBorders>
              <w:top w:val="nil"/>
              <w:left w:val="nil"/>
              <w:bottom w:val="single" w:sz="4" w:space="0" w:color="000080"/>
              <w:right w:val="single" w:sz="4" w:space="0" w:color="000080"/>
            </w:tcBorders>
            <w:shd w:val="clear" w:color="auto" w:fill="auto"/>
            <w:noWrap/>
            <w:vAlign w:val="center"/>
            <w:hideMark/>
          </w:tcPr>
          <w:p w:rsidR="00BC48FD" w:rsidRPr="004848B9" w:rsidRDefault="00BC48FD" w:rsidP="00BC48FD">
            <w:pPr>
              <w:spacing w:after="0" w:line="240" w:lineRule="auto"/>
              <w:jc w:val="right"/>
              <w:rPr>
                <w:rFonts w:ascii="Arial" w:eastAsia="Times New Roman" w:hAnsi="Arial" w:cs="Arial"/>
                <w:color w:val="000000"/>
                <w:sz w:val="16"/>
                <w:szCs w:val="16"/>
                <w:lang w:eastAsia="hr-HR"/>
              </w:rPr>
            </w:pPr>
            <w:r w:rsidRPr="004848B9">
              <w:rPr>
                <w:rFonts w:ascii="Arial" w:eastAsia="Times New Roman" w:hAnsi="Arial" w:cs="Arial"/>
                <w:color w:val="000000"/>
                <w:sz w:val="16"/>
                <w:szCs w:val="16"/>
                <w:lang w:eastAsia="hr-HR"/>
              </w:rPr>
              <w:t>4,478</w:t>
            </w:r>
          </w:p>
        </w:tc>
        <w:tc>
          <w:tcPr>
            <w:tcW w:w="1418" w:type="dxa"/>
            <w:tcBorders>
              <w:top w:val="nil"/>
              <w:left w:val="nil"/>
              <w:bottom w:val="single" w:sz="4" w:space="0" w:color="000080"/>
              <w:right w:val="single" w:sz="4" w:space="0" w:color="000080"/>
            </w:tcBorders>
            <w:shd w:val="clear" w:color="auto" w:fill="auto"/>
            <w:noWrap/>
            <w:vAlign w:val="center"/>
            <w:hideMark/>
          </w:tcPr>
          <w:p w:rsidR="00BC48FD" w:rsidRPr="004848B9" w:rsidRDefault="00BC48FD" w:rsidP="00BC48FD">
            <w:pPr>
              <w:spacing w:after="0" w:line="240" w:lineRule="auto"/>
              <w:jc w:val="right"/>
              <w:rPr>
                <w:rFonts w:ascii="Arial" w:eastAsia="Times New Roman" w:hAnsi="Arial" w:cs="Arial"/>
                <w:color w:val="000000"/>
                <w:sz w:val="16"/>
                <w:szCs w:val="16"/>
                <w:lang w:eastAsia="hr-HR"/>
              </w:rPr>
            </w:pPr>
            <w:r w:rsidRPr="004848B9">
              <w:rPr>
                <w:rFonts w:ascii="Arial" w:eastAsia="Times New Roman" w:hAnsi="Arial" w:cs="Arial"/>
                <w:color w:val="000000"/>
                <w:sz w:val="16"/>
                <w:szCs w:val="16"/>
                <w:lang w:eastAsia="hr-HR"/>
              </w:rPr>
              <w:t>4,468</w:t>
            </w:r>
          </w:p>
        </w:tc>
        <w:tc>
          <w:tcPr>
            <w:tcW w:w="1275" w:type="dxa"/>
            <w:tcBorders>
              <w:top w:val="nil"/>
              <w:left w:val="nil"/>
              <w:bottom w:val="single" w:sz="4" w:space="0" w:color="000080"/>
              <w:right w:val="single" w:sz="4" w:space="0" w:color="000080"/>
            </w:tcBorders>
            <w:shd w:val="clear" w:color="auto" w:fill="auto"/>
            <w:noWrap/>
            <w:vAlign w:val="center"/>
            <w:hideMark/>
          </w:tcPr>
          <w:p w:rsidR="00BC48FD" w:rsidRPr="004848B9" w:rsidRDefault="00BC48FD" w:rsidP="00BC48FD">
            <w:pPr>
              <w:spacing w:after="0" w:line="240" w:lineRule="auto"/>
              <w:jc w:val="right"/>
              <w:rPr>
                <w:rFonts w:ascii="Arial" w:eastAsia="Times New Roman" w:hAnsi="Arial" w:cs="Arial"/>
                <w:color w:val="000000"/>
                <w:sz w:val="16"/>
                <w:szCs w:val="16"/>
                <w:lang w:eastAsia="hr-HR"/>
              </w:rPr>
            </w:pPr>
            <w:r w:rsidRPr="004848B9">
              <w:rPr>
                <w:rFonts w:ascii="Arial" w:eastAsia="Times New Roman" w:hAnsi="Arial" w:cs="Arial"/>
                <w:color w:val="000000"/>
                <w:sz w:val="16"/>
                <w:szCs w:val="16"/>
                <w:lang w:eastAsia="hr-HR"/>
              </w:rPr>
              <w:t>,</w:t>
            </w:r>
          </w:p>
        </w:tc>
        <w:tc>
          <w:tcPr>
            <w:tcW w:w="1418" w:type="dxa"/>
            <w:tcBorders>
              <w:top w:val="nil"/>
              <w:left w:val="nil"/>
              <w:bottom w:val="single" w:sz="4" w:space="0" w:color="000080"/>
              <w:right w:val="single" w:sz="4" w:space="0" w:color="000080"/>
            </w:tcBorders>
            <w:shd w:val="clear" w:color="auto" w:fill="auto"/>
            <w:noWrap/>
            <w:vAlign w:val="center"/>
            <w:hideMark/>
          </w:tcPr>
          <w:p w:rsidR="00BC48FD" w:rsidRPr="004848B9" w:rsidRDefault="00BC48FD" w:rsidP="00BC48FD">
            <w:pPr>
              <w:spacing w:after="0" w:line="240" w:lineRule="auto"/>
              <w:jc w:val="right"/>
              <w:rPr>
                <w:rFonts w:ascii="Arial" w:eastAsia="Times New Roman" w:hAnsi="Arial" w:cs="Arial"/>
                <w:color w:val="000000"/>
                <w:sz w:val="16"/>
                <w:szCs w:val="16"/>
                <w:lang w:eastAsia="hr-HR"/>
              </w:rPr>
            </w:pPr>
            <w:r w:rsidRPr="004848B9">
              <w:rPr>
                <w:rFonts w:ascii="Arial" w:eastAsia="Times New Roman" w:hAnsi="Arial" w:cs="Arial"/>
                <w:color w:val="000000"/>
                <w:sz w:val="16"/>
                <w:szCs w:val="16"/>
                <w:lang w:eastAsia="hr-HR"/>
              </w:rPr>
              <w:t>,01</w:t>
            </w:r>
          </w:p>
        </w:tc>
      </w:tr>
    </w:tbl>
    <w:p w:rsidR="0014593E" w:rsidRDefault="0014593E" w:rsidP="0014593E">
      <w:pPr>
        <w:spacing w:after="0" w:line="240" w:lineRule="auto"/>
        <w:jc w:val="both"/>
        <w:rPr>
          <w:rFonts w:ascii="Times New Roman" w:hAnsi="Times New Roman" w:cs="Times New Roman"/>
        </w:rPr>
      </w:pPr>
    </w:p>
    <w:p w:rsidR="009141F4" w:rsidRPr="00FA7F54" w:rsidRDefault="00384371" w:rsidP="00384371">
      <w:pPr>
        <w:spacing w:line="240" w:lineRule="auto"/>
        <w:jc w:val="both"/>
        <w:rPr>
          <w:rFonts w:ascii="Times New Roman" w:hAnsi="Times New Roman" w:cs="Times New Roman"/>
        </w:rPr>
      </w:pPr>
      <w:r w:rsidRPr="00FA7F54">
        <w:rPr>
          <w:rFonts w:ascii="Times New Roman" w:hAnsi="Times New Roman" w:cs="Times New Roman"/>
        </w:rPr>
        <w:t>Iz analize prosječnih mjesečnih troškova naknada za prijevoz na posao i s posla proizlazi da prosječni mjesečni trošak naknade za prijevoz na posao i s posla po zaposleniku kod proračunskih i izvanp</w:t>
      </w:r>
      <w:r w:rsidR="00BD4FAA">
        <w:rPr>
          <w:rFonts w:ascii="Times New Roman" w:hAnsi="Times New Roman" w:cs="Times New Roman"/>
        </w:rPr>
        <w:t>roračunskih korisnika iznosi 352 kune</w:t>
      </w:r>
      <w:r w:rsidRPr="00FA7F54">
        <w:rPr>
          <w:rFonts w:ascii="Times New Roman" w:hAnsi="Times New Roman" w:cs="Times New Roman"/>
        </w:rPr>
        <w:t xml:space="preserve"> u 2014. godini što direktno ovisi o strukturi zaposlenih i njihovom mjestu stanovanja. </w:t>
      </w:r>
    </w:p>
    <w:p w:rsidR="009141F4" w:rsidRPr="00FA7F54" w:rsidRDefault="009141F4" w:rsidP="009141F4">
      <w:pPr>
        <w:shd w:val="clear" w:color="auto" w:fill="FFFFFF"/>
        <w:spacing w:after="0" w:line="240" w:lineRule="auto"/>
        <w:ind w:firstLine="360"/>
        <w:jc w:val="both"/>
        <w:rPr>
          <w:rFonts w:ascii="Times New Roman" w:hAnsi="Times New Roman" w:cs="Times New Roman"/>
          <w:u w:val="single"/>
        </w:rPr>
      </w:pPr>
      <w:r w:rsidRPr="00FA7F54">
        <w:rPr>
          <w:rFonts w:ascii="Times New Roman" w:hAnsi="Times New Roman" w:cs="Times New Roman"/>
          <w:u w:val="single"/>
        </w:rPr>
        <w:t>Mjere za smanjenje odnosno optimizaciju rashoda:</w:t>
      </w:r>
    </w:p>
    <w:p w:rsidR="009141F4" w:rsidRPr="00FA7F54" w:rsidRDefault="009141F4" w:rsidP="00922D60">
      <w:pPr>
        <w:pStyle w:val="Odlomakpopisa"/>
        <w:numPr>
          <w:ilvl w:val="0"/>
          <w:numId w:val="17"/>
        </w:numPr>
        <w:spacing w:after="0" w:line="240" w:lineRule="auto"/>
        <w:jc w:val="both"/>
        <w:rPr>
          <w:rFonts w:ascii="Times New Roman" w:hAnsi="Times New Roman" w:cs="Times New Roman"/>
        </w:rPr>
      </w:pPr>
      <w:r w:rsidRPr="00FA7F54">
        <w:rPr>
          <w:rFonts w:ascii="Times New Roman" w:hAnsi="Times New Roman" w:cs="Times New Roman"/>
        </w:rPr>
        <w:t>Izrada izvještaja o isplaćenim naknadama za prijevoz zaposlenika u COP-u</w:t>
      </w:r>
    </w:p>
    <w:p w:rsidR="001022B3" w:rsidRPr="00FA7F54" w:rsidRDefault="00384371" w:rsidP="0014593E">
      <w:pPr>
        <w:spacing w:after="0" w:line="240" w:lineRule="auto"/>
        <w:jc w:val="both"/>
        <w:rPr>
          <w:rFonts w:ascii="Times New Roman" w:hAnsi="Times New Roman" w:cs="Times New Roman"/>
        </w:rPr>
      </w:pPr>
      <w:r w:rsidRPr="00FA7F54">
        <w:rPr>
          <w:rFonts w:ascii="Times New Roman" w:hAnsi="Times New Roman" w:cs="Times New Roman"/>
        </w:rPr>
        <w:t>Kako se ove naknade isplaćuju putem COP-a, od FINA-e se očekuje razvoj izvještaja koji omogućavaju de</w:t>
      </w:r>
      <w:r w:rsidR="00A3735D" w:rsidRPr="00FA7F54">
        <w:rPr>
          <w:rFonts w:ascii="Times New Roman" w:hAnsi="Times New Roman" w:cs="Times New Roman"/>
        </w:rPr>
        <w:t xml:space="preserve">taljniju analizu ovih naknada. </w:t>
      </w:r>
    </w:p>
    <w:p w:rsidR="00542CB8" w:rsidRPr="00FA7F54" w:rsidRDefault="001C1CAB" w:rsidP="000D0271">
      <w:pPr>
        <w:pStyle w:val="Naslov2"/>
        <w:rPr>
          <w:rFonts w:ascii="Times New Roman" w:hAnsi="Times New Roman" w:cs="Times New Roman"/>
          <w:color w:val="auto"/>
          <w:sz w:val="22"/>
          <w:szCs w:val="22"/>
        </w:rPr>
      </w:pPr>
      <w:bookmarkStart w:id="24" w:name="_Toc434411177"/>
      <w:bookmarkStart w:id="25" w:name="_Toc436402320"/>
      <w:r w:rsidRPr="00FA7F54">
        <w:rPr>
          <w:rFonts w:ascii="Times New Roman" w:hAnsi="Times New Roman" w:cs="Times New Roman"/>
          <w:color w:val="auto"/>
          <w:sz w:val="22"/>
          <w:szCs w:val="22"/>
        </w:rPr>
        <w:t>STRUČNO USAVRŠAVANJE ZAPOSLENIKA (3213</w:t>
      </w:r>
      <w:r w:rsidR="00542CB8" w:rsidRPr="00FA7F54">
        <w:rPr>
          <w:rFonts w:ascii="Times New Roman" w:hAnsi="Times New Roman" w:cs="Times New Roman"/>
          <w:color w:val="auto"/>
          <w:sz w:val="22"/>
          <w:szCs w:val="22"/>
        </w:rPr>
        <w:t>)</w:t>
      </w:r>
      <w:bookmarkEnd w:id="24"/>
      <w:bookmarkEnd w:id="25"/>
    </w:p>
    <w:p w:rsidR="005670B9" w:rsidRPr="00FA7F54" w:rsidRDefault="001C1CAB" w:rsidP="007F5731">
      <w:pPr>
        <w:spacing w:line="240" w:lineRule="auto"/>
        <w:jc w:val="both"/>
        <w:rPr>
          <w:rFonts w:ascii="Times New Roman" w:hAnsi="Times New Roman" w:cs="Times New Roman"/>
        </w:rPr>
      </w:pPr>
      <w:r w:rsidRPr="00FA7F54">
        <w:rPr>
          <w:rFonts w:ascii="Times New Roman" w:hAnsi="Times New Roman" w:cs="Times New Roman"/>
        </w:rPr>
        <w:t>Rashodi za stručno usavršavanje zaposlenika uključuju kotizacije za seminare, savjetovanja i simpozije odnosno troškove tečajeva i stručnih ispita</w:t>
      </w:r>
      <w:r w:rsidR="0083160F" w:rsidRPr="00FA7F54">
        <w:rPr>
          <w:rFonts w:ascii="Times New Roman" w:hAnsi="Times New Roman" w:cs="Times New Roman"/>
        </w:rPr>
        <w:t xml:space="preserve"> te se za razliku od rashoda za prijevoz, za rad na terenu i odvojeni život, mogu smatrati </w:t>
      </w:r>
      <w:proofErr w:type="spellStart"/>
      <w:r w:rsidR="0083160F" w:rsidRPr="00FA7F54">
        <w:rPr>
          <w:rFonts w:ascii="Times New Roman" w:hAnsi="Times New Roman" w:cs="Times New Roman"/>
        </w:rPr>
        <w:t>kontr</w:t>
      </w:r>
      <w:r w:rsidR="009A098F">
        <w:rPr>
          <w:rFonts w:ascii="Times New Roman" w:hAnsi="Times New Roman" w:cs="Times New Roman"/>
        </w:rPr>
        <w:t>o</w:t>
      </w:r>
      <w:r w:rsidR="0083160F" w:rsidRPr="00FA7F54">
        <w:rPr>
          <w:rFonts w:ascii="Times New Roman" w:hAnsi="Times New Roman" w:cs="Times New Roman"/>
        </w:rPr>
        <w:t>labilnim</w:t>
      </w:r>
      <w:proofErr w:type="spellEnd"/>
      <w:r w:rsidR="0083160F" w:rsidRPr="00FA7F54">
        <w:rPr>
          <w:rFonts w:ascii="Times New Roman" w:hAnsi="Times New Roman" w:cs="Times New Roman"/>
        </w:rPr>
        <w:t xml:space="preserve"> troškovima</w:t>
      </w:r>
      <w:r w:rsidRPr="00FA7F54">
        <w:rPr>
          <w:rFonts w:ascii="Times New Roman" w:hAnsi="Times New Roman" w:cs="Times New Roman"/>
        </w:rPr>
        <w:t xml:space="preserve">. Važno je </w:t>
      </w:r>
      <w:r w:rsidR="009A098F">
        <w:rPr>
          <w:rFonts w:ascii="Times New Roman" w:hAnsi="Times New Roman" w:cs="Times New Roman"/>
        </w:rPr>
        <w:t>istaknuti</w:t>
      </w:r>
      <w:r w:rsidR="009A098F" w:rsidRPr="00FA7F54">
        <w:rPr>
          <w:rFonts w:ascii="Times New Roman" w:hAnsi="Times New Roman" w:cs="Times New Roman"/>
        </w:rPr>
        <w:t xml:space="preserve"> </w:t>
      </w:r>
      <w:r w:rsidRPr="00FA7F54">
        <w:rPr>
          <w:rFonts w:ascii="Times New Roman" w:hAnsi="Times New Roman" w:cs="Times New Roman"/>
        </w:rPr>
        <w:t>kako se u okviru navedene skupine rashoda ne evidentiraju školarine</w:t>
      </w:r>
      <w:r w:rsidR="003B28EC" w:rsidRPr="00FA7F54">
        <w:rPr>
          <w:rFonts w:ascii="Times New Roman" w:hAnsi="Times New Roman" w:cs="Times New Roman"/>
        </w:rPr>
        <w:t xml:space="preserve"> na preddiplomskim, poslijediplomskim i </w:t>
      </w:r>
      <w:r w:rsidR="003B28EC" w:rsidRPr="00FA7F54">
        <w:rPr>
          <w:rFonts w:ascii="Times New Roman" w:hAnsi="Times New Roman" w:cs="Times New Roman"/>
        </w:rPr>
        <w:lastRenderedPageBreak/>
        <w:t>doktorskim studijima</w:t>
      </w:r>
      <w:r w:rsidR="00110689" w:rsidRPr="00FA7F54">
        <w:rPr>
          <w:rFonts w:ascii="Times New Roman" w:hAnsi="Times New Roman" w:cs="Times New Roman"/>
        </w:rPr>
        <w:t xml:space="preserve"> </w:t>
      </w:r>
      <w:r w:rsidRPr="00FA7F54">
        <w:rPr>
          <w:rFonts w:ascii="Times New Roman" w:hAnsi="Times New Roman" w:cs="Times New Roman"/>
        </w:rPr>
        <w:t>koje poslodavac podmiruje svojim zaposlenicima, a koje se evidentiraju u okviru skupine 37 Naknade građanima i kućanstvima.</w:t>
      </w:r>
    </w:p>
    <w:p w:rsidR="009835A2" w:rsidRPr="0085563B" w:rsidRDefault="009835A2" w:rsidP="0085563B">
      <w:pPr>
        <w:pStyle w:val="Opisslike"/>
        <w:spacing w:after="0"/>
        <w:jc w:val="both"/>
        <w:rPr>
          <w:rFonts w:ascii="Times New Roman" w:hAnsi="Times New Roman" w:cs="Times New Roman"/>
          <w:sz w:val="20"/>
          <w:szCs w:val="20"/>
        </w:rPr>
      </w:pPr>
      <w:bookmarkStart w:id="26" w:name="_Toc436402257"/>
      <w:r w:rsidRPr="0085563B">
        <w:rPr>
          <w:rFonts w:ascii="Times New Roman" w:hAnsi="Times New Roman" w:cs="Times New Roman"/>
          <w:sz w:val="20"/>
          <w:szCs w:val="20"/>
        </w:rPr>
        <w:t xml:space="preserve">Tabela </w:t>
      </w:r>
      <w:r w:rsidR="002D0343" w:rsidRPr="0085563B">
        <w:rPr>
          <w:rFonts w:ascii="Times New Roman" w:hAnsi="Times New Roman" w:cs="Times New Roman"/>
          <w:sz w:val="20"/>
          <w:szCs w:val="20"/>
        </w:rPr>
        <w:fldChar w:fldCharType="begin"/>
      </w:r>
      <w:r w:rsidRPr="0085563B">
        <w:rPr>
          <w:rFonts w:ascii="Times New Roman" w:hAnsi="Times New Roman" w:cs="Times New Roman"/>
          <w:sz w:val="20"/>
          <w:szCs w:val="20"/>
        </w:rPr>
        <w:instrText xml:space="preserve"> SEQ Tabela \* ARABIC </w:instrText>
      </w:r>
      <w:r w:rsidR="002D0343" w:rsidRPr="0085563B">
        <w:rPr>
          <w:rFonts w:ascii="Times New Roman" w:hAnsi="Times New Roman" w:cs="Times New Roman"/>
          <w:sz w:val="20"/>
          <w:szCs w:val="20"/>
        </w:rPr>
        <w:fldChar w:fldCharType="separate"/>
      </w:r>
      <w:r w:rsidR="00F50808">
        <w:rPr>
          <w:rFonts w:ascii="Times New Roman" w:hAnsi="Times New Roman" w:cs="Times New Roman"/>
          <w:noProof/>
          <w:sz w:val="20"/>
          <w:szCs w:val="20"/>
        </w:rPr>
        <w:t>10</w:t>
      </w:r>
      <w:r w:rsidR="002D0343" w:rsidRPr="0085563B">
        <w:rPr>
          <w:rFonts w:ascii="Times New Roman" w:hAnsi="Times New Roman" w:cs="Times New Roman"/>
          <w:sz w:val="20"/>
          <w:szCs w:val="20"/>
        </w:rPr>
        <w:fldChar w:fldCharType="end"/>
      </w:r>
      <w:r w:rsidRPr="0085563B">
        <w:rPr>
          <w:rFonts w:ascii="Times New Roman" w:hAnsi="Times New Roman" w:cs="Times New Roman"/>
          <w:sz w:val="20"/>
          <w:szCs w:val="20"/>
        </w:rPr>
        <w:t xml:space="preserve">: </w:t>
      </w:r>
      <w:r w:rsidR="007911E9" w:rsidRPr="0085563B">
        <w:rPr>
          <w:rFonts w:ascii="Times New Roman" w:hAnsi="Times New Roman" w:cs="Times New Roman"/>
          <w:sz w:val="20"/>
          <w:szCs w:val="20"/>
        </w:rPr>
        <w:t xml:space="preserve">Stručno usavršavanje zaposlenika prema podacima iskazanim u financijskim izvještajima proračunskih i izvanproračunskih korisnika za 2013. i 2014. </w:t>
      </w:r>
      <w:r w:rsidR="00074225" w:rsidRPr="0085563B">
        <w:rPr>
          <w:rFonts w:ascii="Times New Roman" w:hAnsi="Times New Roman" w:cs="Times New Roman"/>
          <w:sz w:val="20"/>
          <w:szCs w:val="20"/>
        </w:rPr>
        <w:t>g</w:t>
      </w:r>
      <w:r w:rsidR="007911E9" w:rsidRPr="0085563B">
        <w:rPr>
          <w:rFonts w:ascii="Times New Roman" w:hAnsi="Times New Roman" w:cs="Times New Roman"/>
          <w:sz w:val="20"/>
          <w:szCs w:val="20"/>
        </w:rPr>
        <w:t>odinu</w:t>
      </w:r>
      <w:r w:rsidR="00984E0D" w:rsidRPr="0085563B">
        <w:rPr>
          <w:rFonts w:ascii="Times New Roman" w:hAnsi="Times New Roman" w:cs="Times New Roman"/>
          <w:sz w:val="20"/>
          <w:szCs w:val="20"/>
        </w:rPr>
        <w:t xml:space="preserve"> te planu Državnog proračuna za 2015. godinu</w:t>
      </w:r>
      <w:bookmarkEnd w:id="26"/>
    </w:p>
    <w:p w:rsidR="0013254A" w:rsidRPr="00FA7F54" w:rsidRDefault="00DE12BC" w:rsidP="007F5731">
      <w:pPr>
        <w:spacing w:line="240" w:lineRule="auto"/>
        <w:jc w:val="both"/>
        <w:rPr>
          <w:rFonts w:ascii="Times New Roman" w:hAnsi="Times New Roman" w:cs="Times New Roman"/>
        </w:rPr>
      </w:pPr>
      <w:r w:rsidRPr="00DE12BC">
        <w:rPr>
          <w:noProof/>
          <w:lang w:eastAsia="hr-HR"/>
        </w:rPr>
        <w:drawing>
          <wp:inline distT="0" distB="0" distL="0" distR="0" wp14:anchorId="44D9D8DE" wp14:editId="7461A34C">
            <wp:extent cx="5760720" cy="2294204"/>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294204"/>
                    </a:xfrm>
                    <a:prstGeom prst="rect">
                      <a:avLst/>
                    </a:prstGeom>
                    <a:noFill/>
                    <a:ln>
                      <a:noFill/>
                    </a:ln>
                  </pic:spPr>
                </pic:pic>
              </a:graphicData>
            </a:graphic>
          </wp:inline>
        </w:drawing>
      </w:r>
    </w:p>
    <w:p w:rsidR="006A6E61" w:rsidRDefault="00D50115" w:rsidP="007F5731">
      <w:pPr>
        <w:spacing w:line="240" w:lineRule="auto"/>
        <w:jc w:val="both"/>
        <w:rPr>
          <w:rFonts w:ascii="Times New Roman" w:hAnsi="Times New Roman" w:cs="Times New Roman"/>
        </w:rPr>
      </w:pPr>
      <w:r w:rsidRPr="00FA7F54">
        <w:rPr>
          <w:rFonts w:ascii="Times New Roman" w:hAnsi="Times New Roman" w:cs="Times New Roman"/>
        </w:rPr>
        <w:t xml:space="preserve">Prema iskazanim podacima u financijskim izvještajima rashodi za stručno usavršavanje zaposlenika u 2013. godini iznosili su 54,3 mil. kuna, a u 2014. godini 59,6 mil. kuna. </w:t>
      </w:r>
      <w:r w:rsidR="006A6E61" w:rsidRPr="00FA7F54">
        <w:rPr>
          <w:rFonts w:ascii="Times New Roman" w:hAnsi="Times New Roman" w:cs="Times New Roman"/>
        </w:rPr>
        <w:t>U</w:t>
      </w:r>
      <w:r w:rsidR="007F5731" w:rsidRPr="00FA7F54">
        <w:rPr>
          <w:rFonts w:ascii="Times New Roman" w:hAnsi="Times New Roman" w:cs="Times New Roman"/>
        </w:rPr>
        <w:t xml:space="preserve"> državnom proračunu </w:t>
      </w:r>
      <w:r>
        <w:rPr>
          <w:rFonts w:ascii="Times New Roman" w:hAnsi="Times New Roman" w:cs="Times New Roman"/>
        </w:rPr>
        <w:t>za 2015. godinu</w:t>
      </w:r>
      <w:r w:rsidR="006A6E61" w:rsidRPr="00FA7F54">
        <w:rPr>
          <w:rFonts w:ascii="Times New Roman" w:hAnsi="Times New Roman" w:cs="Times New Roman"/>
        </w:rPr>
        <w:t xml:space="preserve"> planiran</w:t>
      </w:r>
      <w:r w:rsidR="002D52DF" w:rsidRPr="00FA7F54">
        <w:rPr>
          <w:rFonts w:ascii="Times New Roman" w:hAnsi="Times New Roman" w:cs="Times New Roman"/>
        </w:rPr>
        <w:t>o</w:t>
      </w:r>
      <w:r>
        <w:rPr>
          <w:rFonts w:ascii="Times New Roman" w:hAnsi="Times New Roman" w:cs="Times New Roman"/>
        </w:rPr>
        <w:t xml:space="preserve"> je</w:t>
      </w:r>
      <w:r w:rsidR="002D52DF" w:rsidRPr="00FA7F54">
        <w:rPr>
          <w:rFonts w:ascii="Times New Roman" w:hAnsi="Times New Roman" w:cs="Times New Roman"/>
        </w:rPr>
        <w:t xml:space="preserve"> ukupno 46,8</w:t>
      </w:r>
      <w:r w:rsidR="00820D22" w:rsidRPr="00FA7F54">
        <w:rPr>
          <w:rFonts w:ascii="Times New Roman" w:hAnsi="Times New Roman" w:cs="Times New Roman"/>
        </w:rPr>
        <w:t xml:space="preserve"> mil. kuna od čega 34</w:t>
      </w:r>
      <w:r w:rsidR="002D52DF" w:rsidRPr="00FA7F54">
        <w:rPr>
          <w:rFonts w:ascii="Times New Roman" w:hAnsi="Times New Roman" w:cs="Times New Roman"/>
        </w:rPr>
        <w:t>,1</w:t>
      </w:r>
      <w:r w:rsidR="006A6E61" w:rsidRPr="00FA7F54">
        <w:rPr>
          <w:rFonts w:ascii="Times New Roman" w:hAnsi="Times New Roman" w:cs="Times New Roman"/>
        </w:rPr>
        <w:t xml:space="preserve"> mil. </w:t>
      </w:r>
      <w:r w:rsidR="004D78EE">
        <w:rPr>
          <w:rFonts w:ascii="Times New Roman" w:hAnsi="Times New Roman" w:cs="Times New Roman"/>
        </w:rPr>
        <w:t xml:space="preserve">kuna </w:t>
      </w:r>
      <w:r w:rsidR="006A6E61" w:rsidRPr="00FA7F54">
        <w:rPr>
          <w:rFonts w:ascii="Times New Roman" w:hAnsi="Times New Roman" w:cs="Times New Roman"/>
        </w:rPr>
        <w:t>iz izvora u limitu.</w:t>
      </w:r>
      <w:r w:rsidR="006F5C88" w:rsidRPr="00FA7F54">
        <w:rPr>
          <w:rFonts w:ascii="Times New Roman" w:hAnsi="Times New Roman" w:cs="Times New Roman"/>
        </w:rPr>
        <w:t xml:space="preserve"> </w:t>
      </w:r>
    </w:p>
    <w:p w:rsidR="00A54509" w:rsidRPr="00FA7F54" w:rsidRDefault="00A54509" w:rsidP="007F5731">
      <w:pPr>
        <w:spacing w:line="240" w:lineRule="auto"/>
        <w:jc w:val="both"/>
        <w:rPr>
          <w:rFonts w:ascii="Times New Roman" w:hAnsi="Times New Roman" w:cs="Times New Roman"/>
        </w:rPr>
      </w:pPr>
      <w:r w:rsidRPr="00FA7F54">
        <w:rPr>
          <w:rFonts w:ascii="Times New Roman" w:hAnsi="Times New Roman" w:cs="Times New Roman"/>
        </w:rPr>
        <w:t xml:space="preserve">Najmanji prosječni mjesečni trošak </w:t>
      </w:r>
      <w:r>
        <w:rPr>
          <w:rFonts w:ascii="Times New Roman" w:hAnsi="Times New Roman" w:cs="Times New Roman"/>
        </w:rPr>
        <w:t>stručnog usavršavanja</w:t>
      </w:r>
      <w:r w:rsidRPr="00FA7F54">
        <w:rPr>
          <w:rFonts w:ascii="Times New Roman" w:hAnsi="Times New Roman" w:cs="Times New Roman"/>
        </w:rPr>
        <w:t xml:space="preserve"> po zaposleniku</w:t>
      </w:r>
      <w:r>
        <w:rPr>
          <w:rFonts w:ascii="Times New Roman" w:hAnsi="Times New Roman" w:cs="Times New Roman"/>
        </w:rPr>
        <w:t xml:space="preserve"> u 2014. godini</w:t>
      </w:r>
      <w:r w:rsidRPr="00FA7F54">
        <w:rPr>
          <w:rFonts w:ascii="Times New Roman" w:hAnsi="Times New Roman" w:cs="Times New Roman"/>
        </w:rPr>
        <w:t xml:space="preserve"> primjetan je kod</w:t>
      </w:r>
      <w:r>
        <w:rPr>
          <w:rFonts w:ascii="Times New Roman" w:hAnsi="Times New Roman" w:cs="Times New Roman"/>
        </w:rPr>
        <w:t xml:space="preserve"> </w:t>
      </w:r>
      <w:r w:rsidRPr="00FA7F54">
        <w:rPr>
          <w:rFonts w:ascii="Times New Roman" w:hAnsi="Times New Roman" w:cs="Times New Roman"/>
        </w:rPr>
        <w:t>ur</w:t>
      </w:r>
      <w:r w:rsidR="00311BC1">
        <w:rPr>
          <w:rFonts w:ascii="Times New Roman" w:hAnsi="Times New Roman" w:cs="Times New Roman"/>
        </w:rPr>
        <w:t>eda državne uprave u županijama i</w:t>
      </w:r>
      <w:r w:rsidRPr="00FA7F54">
        <w:rPr>
          <w:rFonts w:ascii="Times New Roman" w:hAnsi="Times New Roman" w:cs="Times New Roman"/>
        </w:rPr>
        <w:t xml:space="preserve"> tijela sudbene vlasti</w:t>
      </w:r>
      <w:r w:rsidR="00311BC1">
        <w:rPr>
          <w:rFonts w:ascii="Times New Roman" w:hAnsi="Times New Roman" w:cs="Times New Roman"/>
        </w:rPr>
        <w:t>. P</w:t>
      </w:r>
      <w:r w:rsidRPr="00FA7F54">
        <w:rPr>
          <w:rFonts w:ascii="Times New Roman" w:hAnsi="Times New Roman" w:cs="Times New Roman"/>
        </w:rPr>
        <w:t>ovećani prosjeci uočavaju se kod</w:t>
      </w:r>
      <w:r w:rsidR="00311BC1">
        <w:rPr>
          <w:rFonts w:ascii="Times New Roman" w:hAnsi="Times New Roman" w:cs="Times New Roman"/>
        </w:rPr>
        <w:t xml:space="preserve"> </w:t>
      </w:r>
      <w:r w:rsidRPr="00FA7F54">
        <w:rPr>
          <w:rFonts w:ascii="Times New Roman" w:hAnsi="Times New Roman" w:cs="Times New Roman"/>
        </w:rPr>
        <w:t>agencija,</w:t>
      </w:r>
      <w:r>
        <w:rPr>
          <w:rFonts w:ascii="Times New Roman" w:hAnsi="Times New Roman" w:cs="Times New Roman"/>
        </w:rPr>
        <w:t xml:space="preserve"> </w:t>
      </w:r>
      <w:r w:rsidR="00311BC1">
        <w:rPr>
          <w:rFonts w:ascii="Times New Roman" w:hAnsi="Times New Roman" w:cs="Times New Roman"/>
        </w:rPr>
        <w:t>ustanova u kulturi</w:t>
      </w:r>
      <w:r w:rsidR="009379D8">
        <w:rPr>
          <w:rFonts w:ascii="Times New Roman" w:hAnsi="Times New Roman" w:cs="Times New Roman"/>
        </w:rPr>
        <w:t xml:space="preserve"> i </w:t>
      </w:r>
      <w:r w:rsidR="009379D8" w:rsidRPr="00FA7F54">
        <w:rPr>
          <w:rFonts w:ascii="Times New Roman" w:hAnsi="Times New Roman" w:cs="Times New Roman"/>
        </w:rPr>
        <w:t>ostalih državnih tijela</w:t>
      </w:r>
      <w:r w:rsidR="009379D8">
        <w:rPr>
          <w:rFonts w:ascii="Times New Roman" w:hAnsi="Times New Roman" w:cs="Times New Roman"/>
        </w:rPr>
        <w:t xml:space="preserve"> čiji se rashodi za stručno usavršavanje većinskim dijelom financiraju iz proračuna</w:t>
      </w:r>
      <w:r w:rsidRPr="00FA7F54">
        <w:rPr>
          <w:rFonts w:ascii="Times New Roman" w:hAnsi="Times New Roman" w:cs="Times New Roman"/>
        </w:rPr>
        <w:t>.</w:t>
      </w:r>
      <w:r w:rsidR="0040005F">
        <w:rPr>
          <w:rFonts w:ascii="Times New Roman" w:hAnsi="Times New Roman" w:cs="Times New Roman"/>
        </w:rPr>
        <w:t xml:space="preserve"> </w:t>
      </w:r>
      <w:r w:rsidR="0040005F" w:rsidRPr="00FA7F54">
        <w:rPr>
          <w:rFonts w:ascii="Times New Roman" w:hAnsi="Times New Roman" w:cs="Times New Roman"/>
        </w:rPr>
        <w:t>Kod proračunskih korisnika u</w:t>
      </w:r>
      <w:r w:rsidR="0040005F">
        <w:rPr>
          <w:rFonts w:ascii="Times New Roman" w:hAnsi="Times New Roman" w:cs="Times New Roman"/>
        </w:rPr>
        <w:t xml:space="preserve"> visokom obrazovanju, znanosti, zaštiti prirode</w:t>
      </w:r>
      <w:r w:rsidR="0040005F" w:rsidRPr="00FA7F54">
        <w:rPr>
          <w:rFonts w:ascii="Times New Roman" w:hAnsi="Times New Roman" w:cs="Times New Roman"/>
        </w:rPr>
        <w:t xml:space="preserve"> troškovi </w:t>
      </w:r>
      <w:r w:rsidR="0040005F">
        <w:rPr>
          <w:rFonts w:ascii="Times New Roman" w:hAnsi="Times New Roman" w:cs="Times New Roman"/>
        </w:rPr>
        <w:t>stručnog usavršavanja</w:t>
      </w:r>
      <w:r w:rsidR="0040005F" w:rsidRPr="00FA7F54">
        <w:rPr>
          <w:rFonts w:ascii="Times New Roman" w:hAnsi="Times New Roman" w:cs="Times New Roman"/>
        </w:rPr>
        <w:t xml:space="preserve"> se u najvećoj mjeri financiraju iz vlastitih i namjenskih prihoda.</w:t>
      </w:r>
      <w:r w:rsidR="0040005F">
        <w:rPr>
          <w:rFonts w:ascii="Times New Roman" w:hAnsi="Times New Roman" w:cs="Times New Roman"/>
        </w:rPr>
        <w:t xml:space="preserve"> </w:t>
      </w:r>
    </w:p>
    <w:p w:rsidR="009835A2" w:rsidRPr="0085563B" w:rsidRDefault="009835A2" w:rsidP="006B7B79">
      <w:pPr>
        <w:pStyle w:val="Opisslike"/>
        <w:spacing w:after="0"/>
        <w:jc w:val="both"/>
        <w:rPr>
          <w:rFonts w:ascii="Times New Roman" w:hAnsi="Times New Roman" w:cs="Times New Roman"/>
          <w:sz w:val="20"/>
          <w:szCs w:val="20"/>
        </w:rPr>
      </w:pPr>
      <w:bookmarkStart w:id="27" w:name="_Toc436402258"/>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11</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 xml:space="preserve">: </w:t>
      </w:r>
      <w:r w:rsidR="005C6D6A" w:rsidRPr="006B7B79">
        <w:rPr>
          <w:rFonts w:ascii="Times New Roman" w:hAnsi="Times New Roman" w:cs="Times New Roman"/>
          <w:sz w:val="20"/>
          <w:szCs w:val="20"/>
        </w:rPr>
        <w:t xml:space="preserve">Stručno usavršavanje zaposlenika prema podacima iskazanim u državnom proračunu – </w:t>
      </w:r>
      <w:r w:rsidR="00A238D5" w:rsidRPr="006B7B79">
        <w:rPr>
          <w:rFonts w:ascii="Times New Roman" w:hAnsi="Times New Roman" w:cs="Times New Roman"/>
          <w:sz w:val="20"/>
          <w:szCs w:val="20"/>
        </w:rPr>
        <w:t>izvršenje za 2014. (u mil.</w:t>
      </w:r>
      <w:r w:rsidR="0085563B">
        <w:rPr>
          <w:rFonts w:ascii="Times New Roman" w:hAnsi="Times New Roman" w:cs="Times New Roman"/>
          <w:sz w:val="20"/>
          <w:szCs w:val="20"/>
        </w:rPr>
        <w:t xml:space="preserve"> kuna</w:t>
      </w:r>
      <w:r w:rsidR="00A238D5" w:rsidRPr="006B7B79">
        <w:rPr>
          <w:rFonts w:ascii="Times New Roman" w:hAnsi="Times New Roman" w:cs="Times New Roman"/>
          <w:sz w:val="20"/>
          <w:szCs w:val="20"/>
        </w:rPr>
        <w:t>)</w:t>
      </w:r>
      <w:bookmarkEnd w:id="27"/>
    </w:p>
    <w:tbl>
      <w:tblPr>
        <w:tblW w:w="4380" w:type="dxa"/>
        <w:jc w:val="center"/>
        <w:tblInd w:w="93" w:type="dxa"/>
        <w:tblLook w:val="04A0" w:firstRow="1" w:lastRow="0" w:firstColumn="1" w:lastColumn="0" w:noHBand="0" w:noVBand="1"/>
      </w:tblPr>
      <w:tblGrid>
        <w:gridCol w:w="1360"/>
        <w:gridCol w:w="1159"/>
        <w:gridCol w:w="1106"/>
        <w:gridCol w:w="960"/>
      </w:tblGrid>
      <w:tr w:rsidR="001E1CE2" w:rsidRPr="005C6D6A" w:rsidTr="00466331">
        <w:trPr>
          <w:trHeight w:val="601"/>
          <w:jc w:val="center"/>
        </w:trPr>
        <w:tc>
          <w:tcPr>
            <w:tcW w:w="1360"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1E1CE2" w:rsidRPr="005C6D6A" w:rsidRDefault="001E1CE2" w:rsidP="0085563B">
            <w:pPr>
              <w:spacing w:after="0" w:line="240" w:lineRule="auto"/>
              <w:jc w:val="center"/>
              <w:rPr>
                <w:rFonts w:ascii="Arial" w:eastAsia="Times New Roman" w:hAnsi="Arial" w:cs="Arial"/>
                <w:b/>
                <w:bCs/>
                <w:sz w:val="16"/>
                <w:szCs w:val="16"/>
                <w:lang w:eastAsia="hr-HR"/>
              </w:rPr>
            </w:pPr>
            <w:r w:rsidRPr="005C6D6A">
              <w:rPr>
                <w:rFonts w:ascii="Arial" w:eastAsia="Times New Roman" w:hAnsi="Arial" w:cs="Arial"/>
                <w:b/>
                <w:bCs/>
                <w:sz w:val="16"/>
                <w:szCs w:val="16"/>
                <w:lang w:eastAsia="hr-HR"/>
              </w:rPr>
              <w:t>Izvršenje 2014.</w:t>
            </w:r>
          </w:p>
        </w:tc>
        <w:tc>
          <w:tcPr>
            <w:tcW w:w="1100" w:type="dxa"/>
            <w:tcBorders>
              <w:top w:val="single" w:sz="4" w:space="0" w:color="000080"/>
              <w:left w:val="nil"/>
              <w:bottom w:val="single" w:sz="4" w:space="0" w:color="000080"/>
              <w:right w:val="single" w:sz="4" w:space="0" w:color="000080"/>
            </w:tcBorders>
            <w:shd w:val="clear" w:color="000000" w:fill="DCE6F1"/>
            <w:vAlign w:val="center"/>
            <w:hideMark/>
          </w:tcPr>
          <w:p w:rsidR="001E1CE2" w:rsidRPr="005C6D6A" w:rsidRDefault="001E1CE2" w:rsidP="0085563B">
            <w:pPr>
              <w:spacing w:after="0" w:line="240" w:lineRule="auto"/>
              <w:jc w:val="center"/>
              <w:rPr>
                <w:rFonts w:ascii="Arial" w:eastAsia="Times New Roman" w:hAnsi="Arial" w:cs="Arial"/>
                <w:color w:val="000000"/>
                <w:sz w:val="16"/>
                <w:szCs w:val="16"/>
                <w:lang w:eastAsia="hr-HR"/>
              </w:rPr>
            </w:pPr>
            <w:r w:rsidRPr="005C6D6A">
              <w:rPr>
                <w:rFonts w:ascii="Arial" w:eastAsia="Times New Roman" w:hAnsi="Arial" w:cs="Arial"/>
                <w:color w:val="000000"/>
                <w:sz w:val="16"/>
                <w:szCs w:val="16"/>
                <w:lang w:eastAsia="hr-HR"/>
              </w:rPr>
              <w:t>Stručno usavršavanje zaposlenika</w:t>
            </w:r>
          </w:p>
        </w:tc>
        <w:tc>
          <w:tcPr>
            <w:tcW w:w="960" w:type="dxa"/>
            <w:tcBorders>
              <w:top w:val="single" w:sz="4" w:space="0" w:color="000080"/>
              <w:left w:val="nil"/>
              <w:bottom w:val="single" w:sz="4" w:space="0" w:color="000080"/>
              <w:right w:val="single" w:sz="4" w:space="0" w:color="000080"/>
            </w:tcBorders>
            <w:shd w:val="clear" w:color="000000" w:fill="DCE6F1"/>
            <w:vAlign w:val="center"/>
            <w:hideMark/>
          </w:tcPr>
          <w:p w:rsidR="001E1CE2" w:rsidRPr="005C6D6A" w:rsidRDefault="001E1CE2" w:rsidP="0085563B">
            <w:pPr>
              <w:spacing w:after="0" w:line="240" w:lineRule="auto"/>
              <w:jc w:val="center"/>
              <w:rPr>
                <w:rFonts w:ascii="Arial" w:eastAsia="Times New Roman" w:hAnsi="Arial" w:cs="Arial"/>
                <w:color w:val="000000"/>
                <w:sz w:val="16"/>
                <w:szCs w:val="16"/>
                <w:lang w:eastAsia="hr-HR"/>
              </w:rPr>
            </w:pPr>
            <w:r w:rsidRPr="005C6D6A">
              <w:rPr>
                <w:rFonts w:ascii="Arial" w:eastAsia="Times New Roman" w:hAnsi="Arial" w:cs="Arial"/>
                <w:color w:val="000000"/>
                <w:sz w:val="16"/>
                <w:szCs w:val="16"/>
                <w:lang w:eastAsia="hr-HR"/>
              </w:rPr>
              <w:t>Seminari, savjetovanja i simpoziji</w:t>
            </w:r>
          </w:p>
        </w:tc>
        <w:tc>
          <w:tcPr>
            <w:tcW w:w="960" w:type="dxa"/>
            <w:tcBorders>
              <w:top w:val="single" w:sz="4" w:space="0" w:color="000080"/>
              <w:left w:val="nil"/>
              <w:bottom w:val="single" w:sz="4" w:space="0" w:color="000080"/>
              <w:right w:val="single" w:sz="4" w:space="0" w:color="000080"/>
            </w:tcBorders>
            <w:shd w:val="clear" w:color="000000" w:fill="DCE6F1"/>
            <w:vAlign w:val="center"/>
            <w:hideMark/>
          </w:tcPr>
          <w:p w:rsidR="001E1CE2" w:rsidRPr="005C6D6A" w:rsidRDefault="001E1CE2" w:rsidP="0085563B">
            <w:pPr>
              <w:spacing w:after="0" w:line="240" w:lineRule="auto"/>
              <w:jc w:val="center"/>
              <w:rPr>
                <w:rFonts w:ascii="Arial" w:eastAsia="Times New Roman" w:hAnsi="Arial" w:cs="Arial"/>
                <w:color w:val="000000"/>
                <w:sz w:val="16"/>
                <w:szCs w:val="16"/>
                <w:lang w:eastAsia="hr-HR"/>
              </w:rPr>
            </w:pPr>
            <w:r w:rsidRPr="005C6D6A">
              <w:rPr>
                <w:rFonts w:ascii="Arial" w:eastAsia="Times New Roman" w:hAnsi="Arial" w:cs="Arial"/>
                <w:color w:val="000000"/>
                <w:sz w:val="16"/>
                <w:szCs w:val="16"/>
                <w:lang w:eastAsia="hr-HR"/>
              </w:rPr>
              <w:t>Tečajevi i stručni ispiti</w:t>
            </w:r>
          </w:p>
        </w:tc>
      </w:tr>
      <w:tr w:rsidR="001E1CE2" w:rsidRPr="005C6D6A" w:rsidTr="00466331">
        <w:trPr>
          <w:trHeight w:val="300"/>
          <w:jc w:val="center"/>
        </w:trPr>
        <w:tc>
          <w:tcPr>
            <w:tcW w:w="1360" w:type="dxa"/>
            <w:tcBorders>
              <w:top w:val="nil"/>
              <w:left w:val="single" w:sz="4" w:space="0" w:color="000080"/>
              <w:bottom w:val="single" w:sz="4" w:space="0" w:color="000080"/>
              <w:right w:val="single" w:sz="4" w:space="0" w:color="000080"/>
            </w:tcBorders>
            <w:shd w:val="clear" w:color="000000" w:fill="DCE6F1"/>
            <w:noWrap/>
            <w:vAlign w:val="center"/>
            <w:hideMark/>
          </w:tcPr>
          <w:p w:rsidR="001E1CE2" w:rsidRPr="005C6D6A" w:rsidRDefault="001E1CE2" w:rsidP="005C6D6A">
            <w:pPr>
              <w:spacing w:after="0" w:line="240" w:lineRule="auto"/>
              <w:ind w:firstLineChars="200" w:firstLine="320"/>
              <w:rPr>
                <w:rFonts w:ascii="Arial" w:eastAsia="Times New Roman" w:hAnsi="Arial" w:cs="Arial"/>
                <w:sz w:val="16"/>
                <w:szCs w:val="16"/>
                <w:lang w:eastAsia="hr-HR"/>
              </w:rPr>
            </w:pPr>
            <w:r w:rsidRPr="005C6D6A">
              <w:rPr>
                <w:rFonts w:ascii="Arial" w:eastAsia="Times New Roman" w:hAnsi="Arial" w:cs="Arial"/>
                <w:sz w:val="16"/>
                <w:szCs w:val="16"/>
                <w:lang w:eastAsia="hr-HR"/>
              </w:rPr>
              <w:t>- Ukupno</w:t>
            </w:r>
          </w:p>
        </w:tc>
        <w:tc>
          <w:tcPr>
            <w:tcW w:w="1100" w:type="dxa"/>
            <w:tcBorders>
              <w:top w:val="nil"/>
              <w:left w:val="nil"/>
              <w:bottom w:val="single" w:sz="4" w:space="0" w:color="000080"/>
              <w:right w:val="single" w:sz="4" w:space="0" w:color="000080"/>
            </w:tcBorders>
            <w:shd w:val="clear" w:color="000000" w:fill="DCE6F1"/>
            <w:noWrap/>
            <w:vAlign w:val="center"/>
            <w:hideMark/>
          </w:tcPr>
          <w:p w:rsidR="001E1CE2" w:rsidRPr="005C6D6A" w:rsidRDefault="001E1CE2" w:rsidP="001E1CE2">
            <w:pPr>
              <w:spacing w:after="0" w:line="240" w:lineRule="auto"/>
              <w:jc w:val="right"/>
              <w:rPr>
                <w:rFonts w:ascii="Arial" w:eastAsia="Times New Roman" w:hAnsi="Arial" w:cs="Arial"/>
                <w:color w:val="000000"/>
                <w:sz w:val="16"/>
                <w:szCs w:val="16"/>
                <w:lang w:eastAsia="hr-HR"/>
              </w:rPr>
            </w:pPr>
            <w:r w:rsidRPr="005C6D6A">
              <w:rPr>
                <w:rFonts w:ascii="Arial" w:eastAsia="Times New Roman" w:hAnsi="Arial" w:cs="Arial"/>
                <w:color w:val="000000"/>
                <w:sz w:val="16"/>
                <w:szCs w:val="16"/>
                <w:lang w:eastAsia="hr-HR"/>
              </w:rPr>
              <w:t>26,104</w:t>
            </w:r>
          </w:p>
        </w:tc>
        <w:tc>
          <w:tcPr>
            <w:tcW w:w="960" w:type="dxa"/>
            <w:tcBorders>
              <w:top w:val="nil"/>
              <w:left w:val="nil"/>
              <w:bottom w:val="single" w:sz="4" w:space="0" w:color="000080"/>
              <w:right w:val="single" w:sz="4" w:space="0" w:color="000080"/>
            </w:tcBorders>
            <w:shd w:val="clear" w:color="000000" w:fill="DCE6F1"/>
            <w:noWrap/>
            <w:vAlign w:val="center"/>
            <w:hideMark/>
          </w:tcPr>
          <w:p w:rsidR="001E1CE2" w:rsidRPr="005C6D6A" w:rsidRDefault="001E1CE2" w:rsidP="001E1CE2">
            <w:pPr>
              <w:spacing w:after="0" w:line="240" w:lineRule="auto"/>
              <w:jc w:val="right"/>
              <w:rPr>
                <w:rFonts w:ascii="Arial" w:eastAsia="Times New Roman" w:hAnsi="Arial" w:cs="Arial"/>
                <w:color w:val="000000"/>
                <w:sz w:val="16"/>
                <w:szCs w:val="16"/>
                <w:lang w:eastAsia="hr-HR"/>
              </w:rPr>
            </w:pPr>
            <w:r w:rsidRPr="005C6D6A">
              <w:rPr>
                <w:rFonts w:ascii="Arial" w:eastAsia="Times New Roman" w:hAnsi="Arial" w:cs="Arial"/>
                <w:color w:val="000000"/>
                <w:sz w:val="16"/>
                <w:szCs w:val="16"/>
                <w:lang w:eastAsia="hr-HR"/>
              </w:rPr>
              <w:t>16,429</w:t>
            </w:r>
          </w:p>
        </w:tc>
        <w:tc>
          <w:tcPr>
            <w:tcW w:w="960" w:type="dxa"/>
            <w:tcBorders>
              <w:top w:val="nil"/>
              <w:left w:val="nil"/>
              <w:bottom w:val="single" w:sz="4" w:space="0" w:color="000080"/>
              <w:right w:val="single" w:sz="4" w:space="0" w:color="000080"/>
            </w:tcBorders>
            <w:shd w:val="clear" w:color="000000" w:fill="DCE6F1"/>
            <w:noWrap/>
            <w:vAlign w:val="center"/>
            <w:hideMark/>
          </w:tcPr>
          <w:p w:rsidR="001E1CE2" w:rsidRPr="005C6D6A" w:rsidRDefault="001E1CE2" w:rsidP="001E1CE2">
            <w:pPr>
              <w:spacing w:after="0" w:line="240" w:lineRule="auto"/>
              <w:jc w:val="right"/>
              <w:rPr>
                <w:rFonts w:ascii="Arial" w:eastAsia="Times New Roman" w:hAnsi="Arial" w:cs="Arial"/>
                <w:color w:val="000000"/>
                <w:sz w:val="16"/>
                <w:szCs w:val="16"/>
                <w:lang w:eastAsia="hr-HR"/>
              </w:rPr>
            </w:pPr>
            <w:r w:rsidRPr="005C6D6A">
              <w:rPr>
                <w:rFonts w:ascii="Arial" w:eastAsia="Times New Roman" w:hAnsi="Arial" w:cs="Arial"/>
                <w:color w:val="000000"/>
                <w:sz w:val="16"/>
                <w:szCs w:val="16"/>
                <w:lang w:eastAsia="hr-HR"/>
              </w:rPr>
              <w:t>9,675</w:t>
            </w:r>
          </w:p>
        </w:tc>
      </w:tr>
      <w:tr w:rsidR="001E1CE2" w:rsidRPr="005C6D6A" w:rsidTr="00466331">
        <w:trPr>
          <w:trHeight w:val="300"/>
          <w:jc w:val="center"/>
        </w:trPr>
        <w:tc>
          <w:tcPr>
            <w:tcW w:w="1360" w:type="dxa"/>
            <w:tcBorders>
              <w:top w:val="nil"/>
              <w:left w:val="single" w:sz="4" w:space="0" w:color="000080"/>
              <w:bottom w:val="single" w:sz="4" w:space="0" w:color="000080"/>
              <w:right w:val="single" w:sz="4" w:space="0" w:color="000080"/>
            </w:tcBorders>
            <w:shd w:val="clear" w:color="auto" w:fill="auto"/>
            <w:noWrap/>
            <w:vAlign w:val="center"/>
            <w:hideMark/>
          </w:tcPr>
          <w:p w:rsidR="001E1CE2" w:rsidRPr="005C6D6A" w:rsidRDefault="001E1CE2" w:rsidP="005C6D6A">
            <w:pPr>
              <w:spacing w:after="0" w:line="240" w:lineRule="auto"/>
              <w:ind w:firstLineChars="200" w:firstLine="320"/>
              <w:rPr>
                <w:rFonts w:ascii="Arial" w:eastAsia="Times New Roman" w:hAnsi="Arial" w:cs="Arial"/>
                <w:sz w:val="16"/>
                <w:szCs w:val="16"/>
                <w:lang w:eastAsia="hr-HR"/>
              </w:rPr>
            </w:pPr>
            <w:r w:rsidRPr="005C6D6A">
              <w:rPr>
                <w:rFonts w:ascii="Arial" w:eastAsia="Times New Roman" w:hAnsi="Arial" w:cs="Arial"/>
                <w:sz w:val="16"/>
                <w:szCs w:val="16"/>
                <w:lang w:eastAsia="hr-HR"/>
              </w:rPr>
              <w:t>- 1+2+8</w:t>
            </w:r>
          </w:p>
        </w:tc>
        <w:tc>
          <w:tcPr>
            <w:tcW w:w="1100" w:type="dxa"/>
            <w:tcBorders>
              <w:top w:val="nil"/>
              <w:left w:val="nil"/>
              <w:bottom w:val="single" w:sz="4" w:space="0" w:color="000080"/>
              <w:right w:val="single" w:sz="4" w:space="0" w:color="000080"/>
            </w:tcBorders>
            <w:shd w:val="clear" w:color="auto" w:fill="auto"/>
            <w:noWrap/>
            <w:vAlign w:val="center"/>
            <w:hideMark/>
          </w:tcPr>
          <w:p w:rsidR="001E1CE2" w:rsidRPr="005C6D6A" w:rsidRDefault="001E1CE2" w:rsidP="001E1CE2">
            <w:pPr>
              <w:spacing w:after="0" w:line="240" w:lineRule="auto"/>
              <w:jc w:val="right"/>
              <w:rPr>
                <w:rFonts w:ascii="Arial" w:eastAsia="Times New Roman" w:hAnsi="Arial" w:cs="Arial"/>
                <w:color w:val="000000"/>
                <w:sz w:val="16"/>
                <w:szCs w:val="16"/>
                <w:lang w:eastAsia="hr-HR"/>
              </w:rPr>
            </w:pPr>
            <w:r w:rsidRPr="005C6D6A">
              <w:rPr>
                <w:rFonts w:ascii="Arial" w:eastAsia="Times New Roman" w:hAnsi="Arial" w:cs="Arial"/>
                <w:color w:val="000000"/>
                <w:sz w:val="16"/>
                <w:szCs w:val="16"/>
                <w:lang w:eastAsia="hr-HR"/>
              </w:rPr>
              <w:t>23,073</w:t>
            </w:r>
          </w:p>
        </w:tc>
        <w:tc>
          <w:tcPr>
            <w:tcW w:w="960" w:type="dxa"/>
            <w:tcBorders>
              <w:top w:val="nil"/>
              <w:left w:val="nil"/>
              <w:bottom w:val="single" w:sz="4" w:space="0" w:color="000080"/>
              <w:right w:val="single" w:sz="4" w:space="0" w:color="000080"/>
            </w:tcBorders>
            <w:shd w:val="clear" w:color="auto" w:fill="auto"/>
            <w:noWrap/>
            <w:vAlign w:val="center"/>
            <w:hideMark/>
          </w:tcPr>
          <w:p w:rsidR="001E1CE2" w:rsidRPr="005C6D6A" w:rsidRDefault="001E1CE2" w:rsidP="001E1CE2">
            <w:pPr>
              <w:spacing w:after="0" w:line="240" w:lineRule="auto"/>
              <w:jc w:val="right"/>
              <w:rPr>
                <w:rFonts w:ascii="Arial" w:eastAsia="Times New Roman" w:hAnsi="Arial" w:cs="Arial"/>
                <w:color w:val="000000"/>
                <w:sz w:val="16"/>
                <w:szCs w:val="16"/>
                <w:lang w:eastAsia="hr-HR"/>
              </w:rPr>
            </w:pPr>
            <w:r w:rsidRPr="005C6D6A">
              <w:rPr>
                <w:rFonts w:ascii="Arial" w:eastAsia="Times New Roman" w:hAnsi="Arial" w:cs="Arial"/>
                <w:color w:val="000000"/>
                <w:sz w:val="16"/>
                <w:szCs w:val="16"/>
                <w:lang w:eastAsia="hr-HR"/>
              </w:rPr>
              <w:t>15,003</w:t>
            </w:r>
          </w:p>
        </w:tc>
        <w:tc>
          <w:tcPr>
            <w:tcW w:w="960" w:type="dxa"/>
            <w:tcBorders>
              <w:top w:val="nil"/>
              <w:left w:val="nil"/>
              <w:bottom w:val="single" w:sz="4" w:space="0" w:color="000080"/>
              <w:right w:val="single" w:sz="4" w:space="0" w:color="000080"/>
            </w:tcBorders>
            <w:shd w:val="clear" w:color="auto" w:fill="auto"/>
            <w:noWrap/>
            <w:vAlign w:val="center"/>
            <w:hideMark/>
          </w:tcPr>
          <w:p w:rsidR="001E1CE2" w:rsidRPr="005C6D6A" w:rsidRDefault="001E1CE2" w:rsidP="001E1CE2">
            <w:pPr>
              <w:spacing w:after="0" w:line="240" w:lineRule="auto"/>
              <w:jc w:val="right"/>
              <w:rPr>
                <w:rFonts w:ascii="Arial" w:eastAsia="Times New Roman" w:hAnsi="Arial" w:cs="Arial"/>
                <w:color w:val="000000"/>
                <w:sz w:val="16"/>
                <w:szCs w:val="16"/>
                <w:lang w:eastAsia="hr-HR"/>
              </w:rPr>
            </w:pPr>
            <w:r w:rsidRPr="005C6D6A">
              <w:rPr>
                <w:rFonts w:ascii="Arial" w:eastAsia="Times New Roman" w:hAnsi="Arial" w:cs="Arial"/>
                <w:color w:val="000000"/>
                <w:sz w:val="16"/>
                <w:szCs w:val="16"/>
                <w:lang w:eastAsia="hr-HR"/>
              </w:rPr>
              <w:t>8,070</w:t>
            </w:r>
          </w:p>
        </w:tc>
      </w:tr>
      <w:tr w:rsidR="001E1CE2" w:rsidRPr="005C6D6A" w:rsidTr="00466331">
        <w:trPr>
          <w:trHeight w:val="300"/>
          <w:jc w:val="center"/>
        </w:trPr>
        <w:tc>
          <w:tcPr>
            <w:tcW w:w="1360" w:type="dxa"/>
            <w:tcBorders>
              <w:top w:val="nil"/>
              <w:left w:val="single" w:sz="4" w:space="0" w:color="000080"/>
              <w:bottom w:val="single" w:sz="4" w:space="0" w:color="000080"/>
              <w:right w:val="single" w:sz="4" w:space="0" w:color="000080"/>
            </w:tcBorders>
            <w:shd w:val="clear" w:color="auto" w:fill="auto"/>
            <w:noWrap/>
            <w:vAlign w:val="center"/>
            <w:hideMark/>
          </w:tcPr>
          <w:p w:rsidR="001E1CE2" w:rsidRPr="005C6D6A" w:rsidRDefault="001E1CE2" w:rsidP="00A83B84">
            <w:pPr>
              <w:spacing w:after="0" w:line="240" w:lineRule="auto"/>
              <w:ind w:firstLineChars="200" w:firstLine="320"/>
              <w:rPr>
                <w:rFonts w:ascii="Arial" w:eastAsia="Times New Roman" w:hAnsi="Arial" w:cs="Arial"/>
                <w:sz w:val="16"/>
                <w:szCs w:val="16"/>
                <w:lang w:eastAsia="hr-HR"/>
              </w:rPr>
            </w:pPr>
            <w:r w:rsidRPr="005C6D6A">
              <w:rPr>
                <w:rFonts w:ascii="Arial" w:eastAsia="Times New Roman" w:hAnsi="Arial" w:cs="Arial"/>
                <w:sz w:val="16"/>
                <w:szCs w:val="16"/>
                <w:lang w:eastAsia="hr-HR"/>
              </w:rPr>
              <w:t>- ostali</w:t>
            </w:r>
            <w:r w:rsidR="00A83B84">
              <w:rPr>
                <w:rFonts w:ascii="Arial" w:eastAsia="Times New Roman" w:hAnsi="Arial" w:cs="Arial"/>
                <w:sz w:val="16"/>
                <w:szCs w:val="16"/>
                <w:lang w:eastAsia="hr-HR"/>
              </w:rPr>
              <w:t xml:space="preserve"> izvo</w:t>
            </w:r>
            <w:r w:rsidR="0085563B">
              <w:rPr>
                <w:rFonts w:ascii="Arial" w:eastAsia="Times New Roman" w:hAnsi="Arial" w:cs="Arial"/>
                <w:sz w:val="16"/>
                <w:szCs w:val="16"/>
                <w:lang w:eastAsia="hr-HR"/>
              </w:rPr>
              <w:t>ri</w:t>
            </w:r>
          </w:p>
        </w:tc>
        <w:tc>
          <w:tcPr>
            <w:tcW w:w="1100" w:type="dxa"/>
            <w:tcBorders>
              <w:top w:val="nil"/>
              <w:left w:val="nil"/>
              <w:bottom w:val="single" w:sz="4" w:space="0" w:color="000080"/>
              <w:right w:val="single" w:sz="4" w:space="0" w:color="000080"/>
            </w:tcBorders>
            <w:shd w:val="clear" w:color="auto" w:fill="auto"/>
            <w:noWrap/>
            <w:vAlign w:val="center"/>
            <w:hideMark/>
          </w:tcPr>
          <w:p w:rsidR="001E1CE2" w:rsidRPr="005C6D6A" w:rsidRDefault="001E1CE2" w:rsidP="001E1CE2">
            <w:pPr>
              <w:spacing w:after="0" w:line="240" w:lineRule="auto"/>
              <w:jc w:val="right"/>
              <w:rPr>
                <w:rFonts w:ascii="Arial" w:eastAsia="Times New Roman" w:hAnsi="Arial" w:cs="Arial"/>
                <w:color w:val="000000"/>
                <w:sz w:val="16"/>
                <w:szCs w:val="16"/>
                <w:lang w:eastAsia="hr-HR"/>
              </w:rPr>
            </w:pPr>
            <w:r w:rsidRPr="005C6D6A">
              <w:rPr>
                <w:rFonts w:ascii="Arial" w:eastAsia="Times New Roman" w:hAnsi="Arial" w:cs="Arial"/>
                <w:color w:val="000000"/>
                <w:sz w:val="16"/>
                <w:szCs w:val="16"/>
                <w:lang w:eastAsia="hr-HR"/>
              </w:rPr>
              <w:t>3,032</w:t>
            </w:r>
          </w:p>
        </w:tc>
        <w:tc>
          <w:tcPr>
            <w:tcW w:w="960" w:type="dxa"/>
            <w:tcBorders>
              <w:top w:val="nil"/>
              <w:left w:val="nil"/>
              <w:bottom w:val="single" w:sz="4" w:space="0" w:color="000080"/>
              <w:right w:val="single" w:sz="4" w:space="0" w:color="000080"/>
            </w:tcBorders>
            <w:shd w:val="clear" w:color="auto" w:fill="auto"/>
            <w:noWrap/>
            <w:vAlign w:val="center"/>
            <w:hideMark/>
          </w:tcPr>
          <w:p w:rsidR="001E1CE2" w:rsidRPr="005C6D6A" w:rsidRDefault="001E1CE2" w:rsidP="001E1CE2">
            <w:pPr>
              <w:spacing w:after="0" w:line="240" w:lineRule="auto"/>
              <w:jc w:val="right"/>
              <w:rPr>
                <w:rFonts w:ascii="Arial" w:eastAsia="Times New Roman" w:hAnsi="Arial" w:cs="Arial"/>
                <w:color w:val="000000"/>
                <w:sz w:val="16"/>
                <w:szCs w:val="16"/>
                <w:lang w:eastAsia="hr-HR"/>
              </w:rPr>
            </w:pPr>
            <w:r w:rsidRPr="005C6D6A">
              <w:rPr>
                <w:rFonts w:ascii="Arial" w:eastAsia="Times New Roman" w:hAnsi="Arial" w:cs="Arial"/>
                <w:color w:val="000000"/>
                <w:sz w:val="16"/>
                <w:szCs w:val="16"/>
                <w:lang w:eastAsia="hr-HR"/>
              </w:rPr>
              <w:t>1,426</w:t>
            </w:r>
          </w:p>
        </w:tc>
        <w:tc>
          <w:tcPr>
            <w:tcW w:w="960" w:type="dxa"/>
            <w:tcBorders>
              <w:top w:val="nil"/>
              <w:left w:val="nil"/>
              <w:bottom w:val="single" w:sz="4" w:space="0" w:color="000080"/>
              <w:right w:val="single" w:sz="4" w:space="0" w:color="000080"/>
            </w:tcBorders>
            <w:shd w:val="clear" w:color="auto" w:fill="auto"/>
            <w:noWrap/>
            <w:vAlign w:val="center"/>
            <w:hideMark/>
          </w:tcPr>
          <w:p w:rsidR="001E1CE2" w:rsidRPr="005C6D6A" w:rsidRDefault="001E1CE2" w:rsidP="001E1CE2">
            <w:pPr>
              <w:spacing w:after="0" w:line="240" w:lineRule="auto"/>
              <w:jc w:val="right"/>
              <w:rPr>
                <w:rFonts w:ascii="Arial" w:eastAsia="Times New Roman" w:hAnsi="Arial" w:cs="Arial"/>
                <w:color w:val="000000"/>
                <w:sz w:val="16"/>
                <w:szCs w:val="16"/>
                <w:lang w:eastAsia="hr-HR"/>
              </w:rPr>
            </w:pPr>
            <w:r w:rsidRPr="005C6D6A">
              <w:rPr>
                <w:rFonts w:ascii="Arial" w:eastAsia="Times New Roman" w:hAnsi="Arial" w:cs="Arial"/>
                <w:color w:val="000000"/>
                <w:sz w:val="16"/>
                <w:szCs w:val="16"/>
                <w:lang w:eastAsia="hr-HR"/>
              </w:rPr>
              <w:t>1,605</w:t>
            </w:r>
          </w:p>
        </w:tc>
      </w:tr>
    </w:tbl>
    <w:p w:rsidR="001E1CE2" w:rsidRPr="00FA7F54" w:rsidRDefault="001E1CE2" w:rsidP="004B0028">
      <w:pPr>
        <w:spacing w:after="0" w:line="240" w:lineRule="auto"/>
        <w:jc w:val="both"/>
        <w:rPr>
          <w:rFonts w:ascii="Times New Roman" w:hAnsi="Times New Roman" w:cs="Times New Roman"/>
        </w:rPr>
      </w:pPr>
    </w:p>
    <w:p w:rsidR="00337DB8" w:rsidRPr="00FA7F54" w:rsidRDefault="003F3D2D" w:rsidP="006C51D7">
      <w:pPr>
        <w:spacing w:line="240" w:lineRule="auto"/>
        <w:jc w:val="both"/>
        <w:rPr>
          <w:rFonts w:ascii="Times New Roman" w:hAnsi="Times New Roman" w:cs="Times New Roman"/>
        </w:rPr>
      </w:pPr>
      <w:r w:rsidRPr="00FA7F54">
        <w:rPr>
          <w:rFonts w:ascii="Times New Roman" w:hAnsi="Times New Roman" w:cs="Times New Roman"/>
        </w:rPr>
        <w:t xml:space="preserve">Prosječni mjesečni iznos po zaposleniku na razini svih </w:t>
      </w:r>
      <w:r w:rsidR="0024126B" w:rsidRPr="00FA7F54">
        <w:rPr>
          <w:rFonts w:ascii="Times New Roman" w:hAnsi="Times New Roman" w:cs="Times New Roman"/>
        </w:rPr>
        <w:t>proračunskih korisnika iznosi 32 kune u 2014. godini odnosno 35</w:t>
      </w:r>
      <w:r w:rsidRPr="00FA7F54">
        <w:rPr>
          <w:rFonts w:ascii="Times New Roman" w:hAnsi="Times New Roman" w:cs="Times New Roman"/>
        </w:rPr>
        <w:t xml:space="preserve"> kuna u 2015. godini. </w:t>
      </w:r>
    </w:p>
    <w:p w:rsidR="0043334B" w:rsidRDefault="00A3199F" w:rsidP="006C51D7">
      <w:pPr>
        <w:shd w:val="clear" w:color="auto" w:fill="FFFFFF"/>
        <w:spacing w:after="0" w:line="240" w:lineRule="auto"/>
        <w:ind w:firstLine="708"/>
        <w:jc w:val="both"/>
        <w:rPr>
          <w:rFonts w:ascii="Times New Roman" w:hAnsi="Times New Roman" w:cs="Times New Roman"/>
          <w:u w:val="single"/>
        </w:rPr>
      </w:pPr>
      <w:r w:rsidRPr="00FA7F54">
        <w:rPr>
          <w:rFonts w:ascii="Times New Roman" w:hAnsi="Times New Roman" w:cs="Times New Roman"/>
          <w:u w:val="single"/>
        </w:rPr>
        <w:t>Mjere za smanjenje odnosno optimizaciju rashoda:</w:t>
      </w:r>
    </w:p>
    <w:p w:rsidR="00C4355B" w:rsidRPr="00C4355B" w:rsidRDefault="00A3199F" w:rsidP="00337DB8">
      <w:pPr>
        <w:pStyle w:val="Odlomakpopisa"/>
        <w:numPr>
          <w:ilvl w:val="0"/>
          <w:numId w:val="27"/>
        </w:numPr>
        <w:shd w:val="clear" w:color="auto" w:fill="FFFFFF"/>
        <w:spacing w:after="0" w:line="240" w:lineRule="auto"/>
        <w:ind w:left="0" w:firstLine="708"/>
        <w:jc w:val="both"/>
        <w:rPr>
          <w:rFonts w:ascii="Times New Roman" w:hAnsi="Times New Roman" w:cs="Times New Roman"/>
          <w:u w:val="single"/>
        </w:rPr>
      </w:pPr>
      <w:r w:rsidRPr="0043334B">
        <w:rPr>
          <w:rFonts w:ascii="Times New Roman" w:hAnsi="Times New Roman" w:cs="Times New Roman"/>
        </w:rPr>
        <w:t xml:space="preserve">Procjena </w:t>
      </w:r>
      <w:r w:rsidRPr="0043334B">
        <w:rPr>
          <w:rFonts w:ascii="Times New Roman" w:eastAsia="Times New Roman" w:hAnsi="Times New Roman"/>
          <w:lang w:eastAsia="hr-HR"/>
        </w:rPr>
        <w:t>učinkovitog i djelotvornog funkcioniranja sustava financijskog upravljanja i kontrola</w:t>
      </w:r>
      <w:r w:rsidRPr="0043334B">
        <w:rPr>
          <w:rFonts w:ascii="Times New Roman" w:hAnsi="Times New Roman" w:cs="Times New Roman"/>
        </w:rPr>
        <w:t xml:space="preserve">: </w:t>
      </w:r>
      <w:r w:rsidR="00C4355B">
        <w:rPr>
          <w:rFonts w:ascii="Times New Roman" w:hAnsi="Times New Roman" w:cs="Times New Roman"/>
        </w:rPr>
        <w:t>prosječni mjesečni trošak po zaposlenom.</w:t>
      </w:r>
    </w:p>
    <w:p w:rsidR="00A3199F" w:rsidRPr="00C4355B" w:rsidRDefault="00C4355B" w:rsidP="00C4355B">
      <w:pPr>
        <w:shd w:val="clear" w:color="auto" w:fill="FFFFFF"/>
        <w:spacing w:after="0" w:line="240" w:lineRule="auto"/>
        <w:jc w:val="both"/>
        <w:rPr>
          <w:rFonts w:ascii="Times New Roman" w:hAnsi="Times New Roman" w:cs="Times New Roman"/>
          <w:u w:val="single"/>
        </w:rPr>
      </w:pPr>
      <w:r>
        <w:rPr>
          <w:rFonts w:ascii="Times New Roman" w:hAnsi="Times New Roman" w:cs="Times New Roman"/>
        </w:rPr>
        <w:t>Svi korisnici</w:t>
      </w:r>
      <w:r w:rsidR="00A3199F" w:rsidRPr="00C4355B">
        <w:rPr>
          <w:rFonts w:ascii="Times New Roman" w:hAnsi="Times New Roman" w:cs="Times New Roman"/>
        </w:rPr>
        <w:t xml:space="preserve"> čiji prosječni mjesečni rashodi po zaposlenom prelaze prosječni mjesečni iznos po zaposlenom</w:t>
      </w:r>
      <w:r w:rsidR="00BF6105" w:rsidRPr="00C4355B">
        <w:rPr>
          <w:rFonts w:ascii="Times New Roman" w:hAnsi="Times New Roman" w:cs="Times New Roman"/>
        </w:rPr>
        <w:t xml:space="preserve"> svih korisnika</w:t>
      </w:r>
      <w:r w:rsidR="0043334B" w:rsidRPr="00C4355B">
        <w:rPr>
          <w:rFonts w:ascii="Times New Roman" w:hAnsi="Times New Roman" w:cs="Times New Roman"/>
        </w:rPr>
        <w:t>,</w:t>
      </w:r>
      <w:r w:rsidR="003627CA" w:rsidRPr="00C4355B">
        <w:rPr>
          <w:rFonts w:ascii="Times New Roman" w:hAnsi="Times New Roman" w:cs="Times New Roman"/>
        </w:rPr>
        <w:t xml:space="preserve"> a većim se dijelom financiraju iz državnog proračuna,</w:t>
      </w:r>
      <w:r w:rsidR="0043334B" w:rsidRPr="00C4355B">
        <w:rPr>
          <w:rFonts w:ascii="Times New Roman" w:hAnsi="Times New Roman" w:cs="Times New Roman"/>
        </w:rPr>
        <w:t xml:space="preserve"> </w:t>
      </w:r>
      <w:r w:rsidR="00A3199F" w:rsidRPr="00C4355B">
        <w:rPr>
          <w:rFonts w:ascii="Times New Roman" w:hAnsi="Times New Roman" w:cs="Times New Roman"/>
        </w:rPr>
        <w:t>obvezni su izraditi analizu rashoda za stru</w:t>
      </w:r>
      <w:r w:rsidR="001726BF" w:rsidRPr="00C4355B">
        <w:rPr>
          <w:rFonts w:ascii="Times New Roman" w:hAnsi="Times New Roman" w:cs="Times New Roman"/>
        </w:rPr>
        <w:t>čno usavršavanje stručnih i općih službi,</w:t>
      </w:r>
      <w:r w:rsidR="003627CA" w:rsidRPr="00C4355B">
        <w:rPr>
          <w:rFonts w:ascii="Times New Roman" w:hAnsi="Times New Roman" w:cs="Times New Roman"/>
        </w:rPr>
        <w:t xml:space="preserve"> usavršavanja</w:t>
      </w:r>
      <w:r w:rsidR="001726BF" w:rsidRPr="00C4355B">
        <w:rPr>
          <w:rFonts w:ascii="Times New Roman" w:hAnsi="Times New Roman" w:cs="Times New Roman"/>
        </w:rPr>
        <w:t xml:space="preserve"> </w:t>
      </w:r>
      <w:r w:rsidR="0085563B" w:rsidRPr="00C4355B">
        <w:rPr>
          <w:rFonts w:ascii="Times New Roman" w:hAnsi="Times New Roman" w:cs="Times New Roman"/>
        </w:rPr>
        <w:t>koj</w:t>
      </w:r>
      <w:r w:rsidR="0085563B">
        <w:rPr>
          <w:rFonts w:ascii="Times New Roman" w:hAnsi="Times New Roman" w:cs="Times New Roman"/>
        </w:rPr>
        <w:t>a</w:t>
      </w:r>
      <w:r w:rsidR="0085563B" w:rsidRPr="00C4355B">
        <w:rPr>
          <w:rFonts w:ascii="Times New Roman" w:hAnsi="Times New Roman" w:cs="Times New Roman"/>
        </w:rPr>
        <w:t xml:space="preserve"> </w:t>
      </w:r>
      <w:r w:rsidR="001726BF" w:rsidRPr="00C4355B">
        <w:rPr>
          <w:rFonts w:ascii="Times New Roman" w:hAnsi="Times New Roman" w:cs="Times New Roman"/>
        </w:rPr>
        <w:t>proizlaz</w:t>
      </w:r>
      <w:r w:rsidR="0085563B">
        <w:rPr>
          <w:rFonts w:ascii="Times New Roman" w:hAnsi="Times New Roman" w:cs="Times New Roman"/>
        </w:rPr>
        <w:t>e</w:t>
      </w:r>
      <w:r w:rsidR="001726BF" w:rsidRPr="00C4355B">
        <w:rPr>
          <w:rFonts w:ascii="Times New Roman" w:hAnsi="Times New Roman" w:cs="Times New Roman"/>
        </w:rPr>
        <w:t xml:space="preserve"> iz zakona i slično radi identificiranja uzroka povećanih troškova odnosno poduzimanja mjera radi mogućih ušteda. Navedeni korisnici</w:t>
      </w:r>
      <w:r w:rsidR="00A3199F" w:rsidRPr="00C4355B">
        <w:rPr>
          <w:rFonts w:ascii="Times New Roman" w:hAnsi="Times New Roman" w:cs="Times New Roman"/>
        </w:rPr>
        <w:t xml:space="preserve"> moraju kontinuirano preispitivati visinu troškova za stručno usavršavanje. </w:t>
      </w:r>
    </w:p>
    <w:p w:rsidR="00DF4289" w:rsidRPr="00FA7F54" w:rsidRDefault="00DF4289" w:rsidP="00DF4289">
      <w:pPr>
        <w:pStyle w:val="Naslov2"/>
        <w:rPr>
          <w:rFonts w:ascii="Times New Roman" w:hAnsi="Times New Roman" w:cs="Times New Roman"/>
          <w:color w:val="auto"/>
          <w:sz w:val="22"/>
          <w:szCs w:val="22"/>
        </w:rPr>
      </w:pPr>
      <w:bookmarkStart w:id="28" w:name="_Toc434411178"/>
      <w:bookmarkStart w:id="29" w:name="_Toc436402321"/>
      <w:r w:rsidRPr="00FA7F54">
        <w:rPr>
          <w:rFonts w:ascii="Times New Roman" w:hAnsi="Times New Roman" w:cs="Times New Roman"/>
          <w:color w:val="auto"/>
          <w:sz w:val="22"/>
          <w:szCs w:val="22"/>
        </w:rPr>
        <w:lastRenderedPageBreak/>
        <w:t>OSTALE NAKNADE TROŠKOVA ZAPOSLENIMA (3214)</w:t>
      </w:r>
      <w:bookmarkEnd w:id="28"/>
      <w:bookmarkEnd w:id="29"/>
    </w:p>
    <w:p w:rsidR="00DB0BE9" w:rsidRPr="00FA7F54" w:rsidRDefault="00DB0BE9" w:rsidP="00DB0BE9">
      <w:pPr>
        <w:spacing w:line="240" w:lineRule="auto"/>
        <w:jc w:val="both"/>
        <w:rPr>
          <w:rFonts w:ascii="Times New Roman" w:hAnsi="Times New Roman" w:cs="Times New Roman"/>
        </w:rPr>
      </w:pPr>
      <w:r w:rsidRPr="00FA7F54">
        <w:rPr>
          <w:rFonts w:ascii="Times New Roman" w:hAnsi="Times New Roman" w:cs="Times New Roman"/>
        </w:rPr>
        <w:t>Prema iskazanim podacima u financijskim izvještajima ostale naknade troškova zaposlenima izn</w:t>
      </w:r>
      <w:r w:rsidR="00F87292" w:rsidRPr="00FA7F54">
        <w:rPr>
          <w:rFonts w:ascii="Times New Roman" w:hAnsi="Times New Roman" w:cs="Times New Roman"/>
        </w:rPr>
        <w:t xml:space="preserve">osile su u 2013. godini </w:t>
      </w:r>
      <w:r w:rsidRPr="00FA7F54">
        <w:rPr>
          <w:rFonts w:ascii="Times New Roman" w:hAnsi="Times New Roman" w:cs="Times New Roman"/>
        </w:rPr>
        <w:t>15,1 mil. kuna, a u 2014. godini 18,</w:t>
      </w:r>
      <w:r w:rsidR="00466331">
        <w:rPr>
          <w:rFonts w:ascii="Times New Roman" w:hAnsi="Times New Roman" w:cs="Times New Roman"/>
        </w:rPr>
        <w:t>2</w:t>
      </w:r>
      <w:r w:rsidRPr="00FA7F54">
        <w:rPr>
          <w:rFonts w:ascii="Times New Roman" w:hAnsi="Times New Roman" w:cs="Times New Roman"/>
        </w:rPr>
        <w:t xml:space="preserve"> mil. kuna. </w:t>
      </w:r>
      <w:r w:rsidR="0052634A" w:rsidRPr="00FA7F54">
        <w:rPr>
          <w:rFonts w:ascii="Times New Roman" w:hAnsi="Times New Roman" w:cs="Times New Roman"/>
        </w:rPr>
        <w:t xml:space="preserve">U državnom je proračunu </w:t>
      </w:r>
      <w:r w:rsidR="00C74824">
        <w:rPr>
          <w:rFonts w:ascii="Times New Roman" w:hAnsi="Times New Roman" w:cs="Times New Roman"/>
        </w:rPr>
        <w:t xml:space="preserve">za 2015. planirano </w:t>
      </w:r>
      <w:r w:rsidR="0052634A" w:rsidRPr="00FA7F54">
        <w:rPr>
          <w:rFonts w:ascii="Times New Roman" w:hAnsi="Times New Roman" w:cs="Times New Roman"/>
        </w:rPr>
        <w:t>14,3 mil. kuna</w:t>
      </w:r>
      <w:r w:rsidR="0060485A" w:rsidRPr="00FA7F54">
        <w:rPr>
          <w:rFonts w:ascii="Times New Roman" w:hAnsi="Times New Roman" w:cs="Times New Roman"/>
        </w:rPr>
        <w:t xml:space="preserve"> od čega 8,2 mil.</w:t>
      </w:r>
      <w:r w:rsidR="00174003">
        <w:rPr>
          <w:rFonts w:ascii="Times New Roman" w:hAnsi="Times New Roman" w:cs="Times New Roman"/>
        </w:rPr>
        <w:t xml:space="preserve"> kuna</w:t>
      </w:r>
      <w:r w:rsidR="0060485A" w:rsidRPr="00FA7F54">
        <w:rPr>
          <w:rFonts w:ascii="Times New Roman" w:hAnsi="Times New Roman" w:cs="Times New Roman"/>
        </w:rPr>
        <w:t xml:space="preserve"> iz izvora u limitu.</w:t>
      </w:r>
    </w:p>
    <w:p w:rsidR="00466331" w:rsidRDefault="009835A2" w:rsidP="00466331">
      <w:pPr>
        <w:pStyle w:val="Opisslike"/>
        <w:spacing w:after="0"/>
        <w:jc w:val="both"/>
        <w:rPr>
          <w:rFonts w:ascii="Times New Roman" w:hAnsi="Times New Roman" w:cs="Times New Roman"/>
          <w:sz w:val="20"/>
          <w:szCs w:val="20"/>
        </w:rPr>
      </w:pPr>
      <w:bookmarkStart w:id="30" w:name="_Toc436402259"/>
      <w:r w:rsidRPr="00466331">
        <w:rPr>
          <w:rFonts w:ascii="Times New Roman" w:hAnsi="Times New Roman" w:cs="Times New Roman"/>
          <w:sz w:val="20"/>
          <w:szCs w:val="20"/>
        </w:rPr>
        <w:t xml:space="preserve">Tabela </w:t>
      </w:r>
      <w:r w:rsidR="002D0343" w:rsidRPr="00466331">
        <w:rPr>
          <w:rFonts w:ascii="Times New Roman" w:hAnsi="Times New Roman" w:cs="Times New Roman"/>
          <w:sz w:val="20"/>
          <w:szCs w:val="20"/>
        </w:rPr>
        <w:fldChar w:fldCharType="begin"/>
      </w:r>
      <w:r w:rsidRPr="00466331">
        <w:rPr>
          <w:rFonts w:ascii="Times New Roman" w:hAnsi="Times New Roman" w:cs="Times New Roman"/>
          <w:sz w:val="20"/>
          <w:szCs w:val="20"/>
        </w:rPr>
        <w:instrText xml:space="preserve"> SEQ Tabela \* ARABIC </w:instrText>
      </w:r>
      <w:r w:rsidR="002D0343" w:rsidRPr="00466331">
        <w:rPr>
          <w:rFonts w:ascii="Times New Roman" w:hAnsi="Times New Roman" w:cs="Times New Roman"/>
          <w:sz w:val="20"/>
          <w:szCs w:val="20"/>
        </w:rPr>
        <w:fldChar w:fldCharType="separate"/>
      </w:r>
      <w:r w:rsidR="00F50808">
        <w:rPr>
          <w:rFonts w:ascii="Times New Roman" w:hAnsi="Times New Roman" w:cs="Times New Roman"/>
          <w:noProof/>
          <w:sz w:val="20"/>
          <w:szCs w:val="20"/>
        </w:rPr>
        <w:t>12</w:t>
      </w:r>
      <w:r w:rsidR="002D0343" w:rsidRPr="00466331">
        <w:rPr>
          <w:rFonts w:ascii="Times New Roman" w:hAnsi="Times New Roman" w:cs="Times New Roman"/>
          <w:sz w:val="20"/>
          <w:szCs w:val="20"/>
        </w:rPr>
        <w:fldChar w:fldCharType="end"/>
      </w:r>
      <w:r w:rsidRPr="00466331">
        <w:rPr>
          <w:rFonts w:ascii="Times New Roman" w:hAnsi="Times New Roman" w:cs="Times New Roman"/>
          <w:sz w:val="20"/>
          <w:szCs w:val="20"/>
        </w:rPr>
        <w:t xml:space="preserve">: </w:t>
      </w:r>
      <w:r w:rsidR="000B0A11" w:rsidRPr="00466331">
        <w:rPr>
          <w:rFonts w:ascii="Times New Roman" w:hAnsi="Times New Roman" w:cs="Times New Roman"/>
          <w:sz w:val="20"/>
          <w:szCs w:val="20"/>
        </w:rPr>
        <w:t xml:space="preserve">Ostale naknade zaposlenima prema podacima iskazanim u financijskim izvještajima proračunskih i izvanproračunskih korisnika za 2013. i 2014. </w:t>
      </w:r>
      <w:r w:rsidR="00984E0D" w:rsidRPr="00466331">
        <w:rPr>
          <w:rFonts w:ascii="Times New Roman" w:hAnsi="Times New Roman" w:cs="Times New Roman"/>
          <w:sz w:val="20"/>
          <w:szCs w:val="20"/>
        </w:rPr>
        <w:t>g</w:t>
      </w:r>
      <w:r w:rsidR="000B0A11" w:rsidRPr="00466331">
        <w:rPr>
          <w:rFonts w:ascii="Times New Roman" w:hAnsi="Times New Roman" w:cs="Times New Roman"/>
          <w:sz w:val="20"/>
          <w:szCs w:val="20"/>
        </w:rPr>
        <w:t>odinu</w:t>
      </w:r>
      <w:r w:rsidR="00984E0D" w:rsidRPr="00466331">
        <w:rPr>
          <w:rFonts w:ascii="Times New Roman" w:hAnsi="Times New Roman" w:cs="Times New Roman"/>
          <w:sz w:val="20"/>
          <w:szCs w:val="20"/>
        </w:rPr>
        <w:t xml:space="preserve"> te planu Državnog proračuna za</w:t>
      </w:r>
      <w:r w:rsidR="00466331">
        <w:rPr>
          <w:rFonts w:ascii="Times New Roman" w:hAnsi="Times New Roman" w:cs="Times New Roman"/>
          <w:sz w:val="20"/>
          <w:szCs w:val="20"/>
        </w:rPr>
        <w:t xml:space="preserve"> 2015. godinu</w:t>
      </w:r>
      <w:bookmarkEnd w:id="30"/>
    </w:p>
    <w:p w:rsidR="00A37F2B" w:rsidRDefault="00A37F2B" w:rsidP="00466331">
      <w:pPr>
        <w:pStyle w:val="Opisslike"/>
        <w:spacing w:after="0"/>
        <w:jc w:val="center"/>
        <w:rPr>
          <w:rFonts w:ascii="Times New Roman" w:hAnsi="Times New Roman" w:cs="Times New Roman"/>
        </w:rPr>
      </w:pPr>
      <w:r w:rsidRPr="00A37F2B">
        <w:rPr>
          <w:noProof/>
          <w:lang w:eastAsia="hr-HR"/>
        </w:rPr>
        <w:drawing>
          <wp:inline distT="0" distB="0" distL="0" distR="0" wp14:anchorId="60C294F7" wp14:editId="23D9B966">
            <wp:extent cx="4667250" cy="315277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0" cy="3152775"/>
                    </a:xfrm>
                    <a:prstGeom prst="rect">
                      <a:avLst/>
                    </a:prstGeom>
                    <a:noFill/>
                    <a:ln>
                      <a:noFill/>
                    </a:ln>
                  </pic:spPr>
                </pic:pic>
              </a:graphicData>
            </a:graphic>
          </wp:inline>
        </w:drawing>
      </w:r>
    </w:p>
    <w:p w:rsidR="001D096B" w:rsidRPr="00FA7F54" w:rsidRDefault="00AB355A" w:rsidP="00EE7807">
      <w:pPr>
        <w:spacing w:line="240" w:lineRule="auto"/>
        <w:jc w:val="both"/>
        <w:rPr>
          <w:rFonts w:ascii="Times New Roman" w:hAnsi="Times New Roman" w:cs="Times New Roman"/>
        </w:rPr>
      </w:pPr>
      <w:r w:rsidRPr="00FA7F54">
        <w:rPr>
          <w:rFonts w:ascii="Times New Roman" w:hAnsi="Times New Roman" w:cs="Times New Roman"/>
        </w:rPr>
        <w:t xml:space="preserve">Najveći dio ostalih naknada troškova zaposlenima odnosi se na naknade za korištenje privatnog automobila u službene svrhe i to za inspekcijske službe kod Hrvatske poljoprivredne agencije, Savjetodavne službe i Ministarstva poljoprivrede. </w:t>
      </w:r>
    </w:p>
    <w:p w:rsidR="009835A2" w:rsidRPr="00466331" w:rsidRDefault="009835A2" w:rsidP="00466331">
      <w:pPr>
        <w:pStyle w:val="Opisslike"/>
        <w:spacing w:after="0"/>
        <w:jc w:val="both"/>
        <w:rPr>
          <w:rFonts w:ascii="Times New Roman" w:hAnsi="Times New Roman" w:cs="Times New Roman"/>
          <w:sz w:val="20"/>
          <w:szCs w:val="20"/>
        </w:rPr>
      </w:pPr>
      <w:bookmarkStart w:id="31" w:name="_Toc436402260"/>
      <w:r w:rsidRPr="00466331">
        <w:rPr>
          <w:rFonts w:ascii="Times New Roman" w:hAnsi="Times New Roman" w:cs="Times New Roman"/>
          <w:sz w:val="20"/>
          <w:szCs w:val="20"/>
        </w:rPr>
        <w:t xml:space="preserve">Tabela </w:t>
      </w:r>
      <w:r w:rsidR="002D0343" w:rsidRPr="00466331">
        <w:rPr>
          <w:rFonts w:ascii="Times New Roman" w:hAnsi="Times New Roman" w:cs="Times New Roman"/>
          <w:sz w:val="20"/>
          <w:szCs w:val="20"/>
        </w:rPr>
        <w:fldChar w:fldCharType="begin"/>
      </w:r>
      <w:r w:rsidRPr="00466331">
        <w:rPr>
          <w:rFonts w:ascii="Times New Roman" w:hAnsi="Times New Roman" w:cs="Times New Roman"/>
          <w:sz w:val="20"/>
          <w:szCs w:val="20"/>
        </w:rPr>
        <w:instrText xml:space="preserve"> SEQ Tabela \* ARABIC </w:instrText>
      </w:r>
      <w:r w:rsidR="002D0343" w:rsidRPr="00466331">
        <w:rPr>
          <w:rFonts w:ascii="Times New Roman" w:hAnsi="Times New Roman" w:cs="Times New Roman"/>
          <w:sz w:val="20"/>
          <w:szCs w:val="20"/>
        </w:rPr>
        <w:fldChar w:fldCharType="separate"/>
      </w:r>
      <w:r w:rsidR="00F50808">
        <w:rPr>
          <w:rFonts w:ascii="Times New Roman" w:hAnsi="Times New Roman" w:cs="Times New Roman"/>
          <w:noProof/>
          <w:sz w:val="20"/>
          <w:szCs w:val="20"/>
        </w:rPr>
        <w:t>13</w:t>
      </w:r>
      <w:r w:rsidR="002D0343" w:rsidRPr="00466331">
        <w:rPr>
          <w:rFonts w:ascii="Times New Roman" w:hAnsi="Times New Roman" w:cs="Times New Roman"/>
          <w:sz w:val="20"/>
          <w:szCs w:val="20"/>
        </w:rPr>
        <w:fldChar w:fldCharType="end"/>
      </w:r>
      <w:r w:rsidRPr="00466331">
        <w:rPr>
          <w:rFonts w:ascii="Times New Roman" w:hAnsi="Times New Roman" w:cs="Times New Roman"/>
          <w:sz w:val="20"/>
          <w:szCs w:val="20"/>
        </w:rPr>
        <w:t xml:space="preserve">: </w:t>
      </w:r>
      <w:r w:rsidR="009E1D7E" w:rsidRPr="00466331">
        <w:rPr>
          <w:rFonts w:ascii="Times New Roman" w:hAnsi="Times New Roman" w:cs="Times New Roman"/>
          <w:sz w:val="20"/>
          <w:szCs w:val="20"/>
        </w:rPr>
        <w:t>Ostale naknade zaposlenima prema podacima iskazanim u državnom proračunu – izvršenje za 2014. (u mil.</w:t>
      </w:r>
      <w:r w:rsidR="00466331">
        <w:rPr>
          <w:rFonts w:ascii="Times New Roman" w:hAnsi="Times New Roman" w:cs="Times New Roman"/>
          <w:sz w:val="20"/>
          <w:szCs w:val="20"/>
        </w:rPr>
        <w:t xml:space="preserve"> kuna</w:t>
      </w:r>
      <w:r w:rsidR="009E1D7E" w:rsidRPr="00466331">
        <w:rPr>
          <w:rFonts w:ascii="Times New Roman" w:hAnsi="Times New Roman" w:cs="Times New Roman"/>
          <w:sz w:val="20"/>
          <w:szCs w:val="20"/>
        </w:rPr>
        <w:t>)</w:t>
      </w:r>
      <w:bookmarkEnd w:id="31"/>
    </w:p>
    <w:tbl>
      <w:tblPr>
        <w:tblW w:w="4580" w:type="dxa"/>
        <w:jc w:val="center"/>
        <w:tblInd w:w="93" w:type="dxa"/>
        <w:tblLook w:val="04A0" w:firstRow="1" w:lastRow="0" w:firstColumn="1" w:lastColumn="0" w:noHBand="0" w:noVBand="1"/>
      </w:tblPr>
      <w:tblGrid>
        <w:gridCol w:w="1352"/>
        <w:gridCol w:w="1177"/>
        <w:gridCol w:w="1183"/>
        <w:gridCol w:w="1115"/>
      </w:tblGrid>
      <w:tr w:rsidR="001D096B" w:rsidRPr="00C679FF" w:rsidTr="00466331">
        <w:trPr>
          <w:trHeight w:val="883"/>
          <w:jc w:val="center"/>
        </w:trPr>
        <w:tc>
          <w:tcPr>
            <w:tcW w:w="1352"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1D096B" w:rsidRPr="00C679FF" w:rsidRDefault="001D096B" w:rsidP="00933C67">
            <w:pPr>
              <w:spacing w:after="0" w:line="240" w:lineRule="auto"/>
              <w:jc w:val="center"/>
              <w:rPr>
                <w:rFonts w:ascii="Arial" w:eastAsia="Times New Roman" w:hAnsi="Arial" w:cs="Arial"/>
                <w:b/>
                <w:bCs/>
                <w:sz w:val="16"/>
                <w:szCs w:val="16"/>
                <w:lang w:eastAsia="hr-HR"/>
              </w:rPr>
            </w:pPr>
            <w:r w:rsidRPr="00C679FF">
              <w:rPr>
                <w:rFonts w:ascii="Arial" w:eastAsia="Times New Roman" w:hAnsi="Arial" w:cs="Arial"/>
                <w:b/>
                <w:bCs/>
                <w:sz w:val="16"/>
                <w:szCs w:val="16"/>
                <w:lang w:eastAsia="hr-HR"/>
              </w:rPr>
              <w:t>Izvršenje 2014.</w:t>
            </w:r>
          </w:p>
        </w:tc>
        <w:tc>
          <w:tcPr>
            <w:tcW w:w="991" w:type="dxa"/>
            <w:tcBorders>
              <w:top w:val="single" w:sz="4" w:space="0" w:color="000080"/>
              <w:left w:val="nil"/>
              <w:bottom w:val="single" w:sz="4" w:space="0" w:color="000080"/>
              <w:right w:val="single" w:sz="4" w:space="0" w:color="000080"/>
            </w:tcBorders>
            <w:shd w:val="clear" w:color="000000" w:fill="DCE6F1"/>
            <w:vAlign w:val="center"/>
            <w:hideMark/>
          </w:tcPr>
          <w:p w:rsidR="001D096B" w:rsidRPr="00C679FF" w:rsidRDefault="001D096B" w:rsidP="00933C67">
            <w:pPr>
              <w:spacing w:after="0" w:line="240" w:lineRule="auto"/>
              <w:jc w:val="center"/>
              <w:rPr>
                <w:rFonts w:ascii="Arial" w:eastAsia="Times New Roman" w:hAnsi="Arial" w:cs="Arial"/>
                <w:b/>
                <w:bCs/>
                <w:color w:val="000000"/>
                <w:sz w:val="16"/>
                <w:szCs w:val="16"/>
                <w:lang w:eastAsia="hr-HR"/>
              </w:rPr>
            </w:pPr>
            <w:r w:rsidRPr="00C679FF">
              <w:rPr>
                <w:rFonts w:ascii="Arial" w:eastAsia="Times New Roman" w:hAnsi="Arial" w:cs="Arial"/>
                <w:b/>
                <w:bCs/>
                <w:color w:val="000000"/>
                <w:sz w:val="16"/>
                <w:szCs w:val="16"/>
                <w:lang w:eastAsia="hr-HR"/>
              </w:rPr>
              <w:t>Ostale naknade troškova zaposlenima</w:t>
            </w:r>
          </w:p>
        </w:tc>
        <w:tc>
          <w:tcPr>
            <w:tcW w:w="1183" w:type="dxa"/>
            <w:tcBorders>
              <w:top w:val="single" w:sz="4" w:space="0" w:color="000080"/>
              <w:left w:val="nil"/>
              <w:bottom w:val="single" w:sz="4" w:space="0" w:color="000080"/>
              <w:right w:val="single" w:sz="4" w:space="0" w:color="000080"/>
            </w:tcBorders>
            <w:shd w:val="clear" w:color="000000" w:fill="DCE6F1"/>
            <w:vAlign w:val="center"/>
            <w:hideMark/>
          </w:tcPr>
          <w:p w:rsidR="001D096B" w:rsidRPr="00C679FF" w:rsidRDefault="001D096B" w:rsidP="00933C67">
            <w:pPr>
              <w:spacing w:after="0" w:line="240" w:lineRule="auto"/>
              <w:jc w:val="center"/>
              <w:rPr>
                <w:rFonts w:ascii="Arial" w:eastAsia="Times New Roman" w:hAnsi="Arial" w:cs="Arial"/>
                <w:color w:val="000000"/>
                <w:sz w:val="16"/>
                <w:szCs w:val="16"/>
                <w:lang w:eastAsia="hr-HR"/>
              </w:rPr>
            </w:pPr>
            <w:r w:rsidRPr="00C679FF">
              <w:rPr>
                <w:rFonts w:ascii="Arial" w:eastAsia="Times New Roman" w:hAnsi="Arial" w:cs="Arial"/>
                <w:color w:val="000000"/>
                <w:sz w:val="16"/>
                <w:szCs w:val="16"/>
                <w:lang w:eastAsia="hr-HR"/>
              </w:rPr>
              <w:t xml:space="preserve">Nakn.za korištenje privatnog automobila u </w:t>
            </w:r>
            <w:proofErr w:type="spellStart"/>
            <w:r w:rsidRPr="00C679FF">
              <w:rPr>
                <w:rFonts w:ascii="Arial" w:eastAsia="Times New Roman" w:hAnsi="Arial" w:cs="Arial"/>
                <w:color w:val="000000"/>
                <w:sz w:val="16"/>
                <w:szCs w:val="16"/>
                <w:lang w:eastAsia="hr-HR"/>
              </w:rPr>
              <w:t>služb.svrhe</w:t>
            </w:r>
            <w:proofErr w:type="spellEnd"/>
          </w:p>
        </w:tc>
        <w:tc>
          <w:tcPr>
            <w:tcW w:w="1054" w:type="dxa"/>
            <w:tcBorders>
              <w:top w:val="single" w:sz="4" w:space="0" w:color="000080"/>
              <w:left w:val="nil"/>
              <w:bottom w:val="single" w:sz="4" w:space="0" w:color="000080"/>
              <w:right w:val="single" w:sz="4" w:space="0" w:color="000080"/>
            </w:tcBorders>
            <w:shd w:val="clear" w:color="000000" w:fill="DCE6F1"/>
            <w:vAlign w:val="center"/>
            <w:hideMark/>
          </w:tcPr>
          <w:p w:rsidR="001D096B" w:rsidRPr="00C679FF" w:rsidRDefault="001D096B" w:rsidP="00933C67">
            <w:pPr>
              <w:spacing w:after="0" w:line="240" w:lineRule="auto"/>
              <w:jc w:val="center"/>
              <w:rPr>
                <w:rFonts w:ascii="Arial" w:eastAsia="Times New Roman" w:hAnsi="Arial" w:cs="Arial"/>
                <w:color w:val="000000"/>
                <w:sz w:val="16"/>
                <w:szCs w:val="16"/>
                <w:lang w:eastAsia="hr-HR"/>
              </w:rPr>
            </w:pPr>
            <w:r w:rsidRPr="00C679FF">
              <w:rPr>
                <w:rFonts w:ascii="Arial" w:eastAsia="Times New Roman" w:hAnsi="Arial" w:cs="Arial"/>
                <w:color w:val="000000"/>
                <w:sz w:val="16"/>
                <w:szCs w:val="16"/>
                <w:lang w:eastAsia="hr-HR"/>
              </w:rPr>
              <w:t>Ostale naknade troškova zaposlenima</w:t>
            </w:r>
          </w:p>
        </w:tc>
      </w:tr>
      <w:tr w:rsidR="001D096B" w:rsidRPr="00C679FF" w:rsidTr="00466331">
        <w:trPr>
          <w:trHeight w:val="300"/>
          <w:jc w:val="center"/>
        </w:trPr>
        <w:tc>
          <w:tcPr>
            <w:tcW w:w="1352" w:type="dxa"/>
            <w:tcBorders>
              <w:top w:val="nil"/>
              <w:left w:val="single" w:sz="4" w:space="0" w:color="000080"/>
              <w:bottom w:val="single" w:sz="4" w:space="0" w:color="000080"/>
              <w:right w:val="single" w:sz="4" w:space="0" w:color="000080"/>
            </w:tcBorders>
            <w:shd w:val="clear" w:color="000000" w:fill="DCE6F1"/>
            <w:noWrap/>
            <w:vAlign w:val="center"/>
            <w:hideMark/>
          </w:tcPr>
          <w:p w:rsidR="001D096B" w:rsidRPr="00C679FF" w:rsidRDefault="001D096B" w:rsidP="00C679FF">
            <w:pPr>
              <w:spacing w:after="0" w:line="240" w:lineRule="auto"/>
              <w:ind w:firstLineChars="200" w:firstLine="320"/>
              <w:rPr>
                <w:rFonts w:ascii="Arial" w:eastAsia="Times New Roman" w:hAnsi="Arial" w:cs="Arial"/>
                <w:sz w:val="16"/>
                <w:szCs w:val="16"/>
                <w:lang w:eastAsia="hr-HR"/>
              </w:rPr>
            </w:pPr>
            <w:r w:rsidRPr="00C679FF">
              <w:rPr>
                <w:rFonts w:ascii="Arial" w:eastAsia="Times New Roman" w:hAnsi="Arial" w:cs="Arial"/>
                <w:sz w:val="16"/>
                <w:szCs w:val="16"/>
                <w:lang w:eastAsia="hr-HR"/>
              </w:rPr>
              <w:t>- Ukupno</w:t>
            </w:r>
          </w:p>
        </w:tc>
        <w:tc>
          <w:tcPr>
            <w:tcW w:w="991" w:type="dxa"/>
            <w:tcBorders>
              <w:top w:val="nil"/>
              <w:left w:val="nil"/>
              <w:bottom w:val="single" w:sz="4" w:space="0" w:color="000080"/>
              <w:right w:val="single" w:sz="4" w:space="0" w:color="000080"/>
            </w:tcBorders>
            <w:shd w:val="clear" w:color="000000" w:fill="DCE6F1"/>
            <w:noWrap/>
            <w:vAlign w:val="center"/>
            <w:hideMark/>
          </w:tcPr>
          <w:p w:rsidR="001D096B" w:rsidRPr="00C679FF" w:rsidRDefault="001D096B" w:rsidP="001D096B">
            <w:pPr>
              <w:spacing w:after="0" w:line="240" w:lineRule="auto"/>
              <w:jc w:val="right"/>
              <w:rPr>
                <w:rFonts w:ascii="Arial" w:eastAsia="Times New Roman" w:hAnsi="Arial" w:cs="Arial"/>
                <w:b/>
                <w:bCs/>
                <w:color w:val="000000"/>
                <w:sz w:val="16"/>
                <w:szCs w:val="16"/>
                <w:lang w:eastAsia="hr-HR"/>
              </w:rPr>
            </w:pPr>
            <w:r w:rsidRPr="00C679FF">
              <w:rPr>
                <w:rFonts w:ascii="Arial" w:eastAsia="Times New Roman" w:hAnsi="Arial" w:cs="Arial"/>
                <w:b/>
                <w:bCs/>
                <w:color w:val="000000"/>
                <w:sz w:val="16"/>
                <w:szCs w:val="16"/>
                <w:lang w:eastAsia="hr-HR"/>
              </w:rPr>
              <w:t>11,692</w:t>
            </w:r>
          </w:p>
        </w:tc>
        <w:tc>
          <w:tcPr>
            <w:tcW w:w="1183" w:type="dxa"/>
            <w:tcBorders>
              <w:top w:val="nil"/>
              <w:left w:val="nil"/>
              <w:bottom w:val="single" w:sz="4" w:space="0" w:color="000080"/>
              <w:right w:val="single" w:sz="4" w:space="0" w:color="000080"/>
            </w:tcBorders>
            <w:shd w:val="clear" w:color="000000" w:fill="DCE6F1"/>
            <w:noWrap/>
            <w:vAlign w:val="center"/>
            <w:hideMark/>
          </w:tcPr>
          <w:p w:rsidR="001D096B" w:rsidRPr="00C679FF" w:rsidRDefault="001D096B" w:rsidP="001D096B">
            <w:pPr>
              <w:spacing w:after="0" w:line="240" w:lineRule="auto"/>
              <w:jc w:val="right"/>
              <w:rPr>
                <w:rFonts w:ascii="Arial" w:eastAsia="Times New Roman" w:hAnsi="Arial" w:cs="Arial"/>
                <w:color w:val="000000"/>
                <w:sz w:val="16"/>
                <w:szCs w:val="16"/>
                <w:lang w:eastAsia="hr-HR"/>
              </w:rPr>
            </w:pPr>
            <w:r w:rsidRPr="00C679FF">
              <w:rPr>
                <w:rFonts w:ascii="Arial" w:eastAsia="Times New Roman" w:hAnsi="Arial" w:cs="Arial"/>
                <w:color w:val="000000"/>
                <w:sz w:val="16"/>
                <w:szCs w:val="16"/>
                <w:lang w:eastAsia="hr-HR"/>
              </w:rPr>
              <w:t>11,177</w:t>
            </w:r>
          </w:p>
        </w:tc>
        <w:tc>
          <w:tcPr>
            <w:tcW w:w="1054" w:type="dxa"/>
            <w:tcBorders>
              <w:top w:val="nil"/>
              <w:left w:val="nil"/>
              <w:bottom w:val="single" w:sz="4" w:space="0" w:color="000080"/>
              <w:right w:val="single" w:sz="4" w:space="0" w:color="000080"/>
            </w:tcBorders>
            <w:shd w:val="clear" w:color="000000" w:fill="DCE6F1"/>
            <w:noWrap/>
            <w:vAlign w:val="center"/>
            <w:hideMark/>
          </w:tcPr>
          <w:p w:rsidR="001D096B" w:rsidRPr="00C679FF" w:rsidRDefault="001D096B" w:rsidP="001D096B">
            <w:pPr>
              <w:spacing w:after="0" w:line="240" w:lineRule="auto"/>
              <w:jc w:val="right"/>
              <w:rPr>
                <w:rFonts w:ascii="Arial" w:eastAsia="Times New Roman" w:hAnsi="Arial" w:cs="Arial"/>
                <w:color w:val="000000"/>
                <w:sz w:val="16"/>
                <w:szCs w:val="16"/>
                <w:lang w:eastAsia="hr-HR"/>
              </w:rPr>
            </w:pPr>
            <w:r w:rsidRPr="00C679FF">
              <w:rPr>
                <w:rFonts w:ascii="Arial" w:eastAsia="Times New Roman" w:hAnsi="Arial" w:cs="Arial"/>
                <w:color w:val="000000"/>
                <w:sz w:val="16"/>
                <w:szCs w:val="16"/>
                <w:lang w:eastAsia="hr-HR"/>
              </w:rPr>
              <w:t>,514</w:t>
            </w:r>
          </w:p>
        </w:tc>
      </w:tr>
      <w:tr w:rsidR="001D096B" w:rsidRPr="00C679FF" w:rsidTr="00466331">
        <w:trPr>
          <w:trHeight w:val="300"/>
          <w:jc w:val="center"/>
        </w:trPr>
        <w:tc>
          <w:tcPr>
            <w:tcW w:w="1352" w:type="dxa"/>
            <w:tcBorders>
              <w:top w:val="nil"/>
              <w:left w:val="single" w:sz="4" w:space="0" w:color="000080"/>
              <w:bottom w:val="single" w:sz="4" w:space="0" w:color="000080"/>
              <w:right w:val="single" w:sz="4" w:space="0" w:color="000080"/>
            </w:tcBorders>
            <w:shd w:val="clear" w:color="auto" w:fill="auto"/>
            <w:noWrap/>
            <w:vAlign w:val="center"/>
            <w:hideMark/>
          </w:tcPr>
          <w:p w:rsidR="001D096B" w:rsidRPr="00C679FF" w:rsidRDefault="001D096B" w:rsidP="00C679FF">
            <w:pPr>
              <w:spacing w:after="0" w:line="240" w:lineRule="auto"/>
              <w:ind w:firstLineChars="200" w:firstLine="320"/>
              <w:rPr>
                <w:rFonts w:ascii="Arial" w:eastAsia="Times New Roman" w:hAnsi="Arial" w:cs="Arial"/>
                <w:sz w:val="16"/>
                <w:szCs w:val="16"/>
                <w:lang w:eastAsia="hr-HR"/>
              </w:rPr>
            </w:pPr>
            <w:r w:rsidRPr="00C679FF">
              <w:rPr>
                <w:rFonts w:ascii="Arial" w:eastAsia="Times New Roman" w:hAnsi="Arial" w:cs="Arial"/>
                <w:sz w:val="16"/>
                <w:szCs w:val="16"/>
                <w:lang w:eastAsia="hr-HR"/>
              </w:rPr>
              <w:t>- 1+2+8</w:t>
            </w:r>
          </w:p>
        </w:tc>
        <w:tc>
          <w:tcPr>
            <w:tcW w:w="991" w:type="dxa"/>
            <w:tcBorders>
              <w:top w:val="nil"/>
              <w:left w:val="nil"/>
              <w:bottom w:val="single" w:sz="4" w:space="0" w:color="000080"/>
              <w:right w:val="single" w:sz="4" w:space="0" w:color="000080"/>
            </w:tcBorders>
            <w:shd w:val="clear" w:color="auto" w:fill="auto"/>
            <w:noWrap/>
            <w:vAlign w:val="center"/>
            <w:hideMark/>
          </w:tcPr>
          <w:p w:rsidR="001D096B" w:rsidRPr="00C679FF" w:rsidRDefault="001D096B" w:rsidP="001D096B">
            <w:pPr>
              <w:spacing w:after="0" w:line="240" w:lineRule="auto"/>
              <w:jc w:val="right"/>
              <w:rPr>
                <w:rFonts w:ascii="Arial" w:eastAsia="Times New Roman" w:hAnsi="Arial" w:cs="Arial"/>
                <w:b/>
                <w:bCs/>
                <w:color w:val="000000"/>
                <w:sz w:val="16"/>
                <w:szCs w:val="16"/>
                <w:lang w:eastAsia="hr-HR"/>
              </w:rPr>
            </w:pPr>
            <w:r w:rsidRPr="00C679FF">
              <w:rPr>
                <w:rFonts w:ascii="Arial" w:eastAsia="Times New Roman" w:hAnsi="Arial" w:cs="Arial"/>
                <w:b/>
                <w:bCs/>
                <w:color w:val="000000"/>
                <w:sz w:val="16"/>
                <w:szCs w:val="16"/>
                <w:lang w:eastAsia="hr-HR"/>
              </w:rPr>
              <w:t>7,142</w:t>
            </w:r>
          </w:p>
        </w:tc>
        <w:tc>
          <w:tcPr>
            <w:tcW w:w="1183" w:type="dxa"/>
            <w:tcBorders>
              <w:top w:val="nil"/>
              <w:left w:val="nil"/>
              <w:bottom w:val="single" w:sz="4" w:space="0" w:color="000080"/>
              <w:right w:val="single" w:sz="4" w:space="0" w:color="000080"/>
            </w:tcBorders>
            <w:shd w:val="clear" w:color="auto" w:fill="auto"/>
            <w:noWrap/>
            <w:vAlign w:val="center"/>
            <w:hideMark/>
          </w:tcPr>
          <w:p w:rsidR="001D096B" w:rsidRPr="00C679FF" w:rsidRDefault="001D096B" w:rsidP="001D096B">
            <w:pPr>
              <w:spacing w:after="0" w:line="240" w:lineRule="auto"/>
              <w:jc w:val="right"/>
              <w:rPr>
                <w:rFonts w:ascii="Arial" w:eastAsia="Times New Roman" w:hAnsi="Arial" w:cs="Arial"/>
                <w:color w:val="000000"/>
                <w:sz w:val="16"/>
                <w:szCs w:val="16"/>
                <w:lang w:eastAsia="hr-HR"/>
              </w:rPr>
            </w:pPr>
            <w:r w:rsidRPr="00C679FF">
              <w:rPr>
                <w:rFonts w:ascii="Arial" w:eastAsia="Times New Roman" w:hAnsi="Arial" w:cs="Arial"/>
                <w:color w:val="000000"/>
                <w:sz w:val="16"/>
                <w:szCs w:val="16"/>
                <w:lang w:eastAsia="hr-HR"/>
              </w:rPr>
              <w:t>6,711</w:t>
            </w:r>
          </w:p>
        </w:tc>
        <w:tc>
          <w:tcPr>
            <w:tcW w:w="1054" w:type="dxa"/>
            <w:tcBorders>
              <w:top w:val="nil"/>
              <w:left w:val="nil"/>
              <w:bottom w:val="single" w:sz="4" w:space="0" w:color="000080"/>
              <w:right w:val="single" w:sz="4" w:space="0" w:color="000080"/>
            </w:tcBorders>
            <w:shd w:val="clear" w:color="auto" w:fill="auto"/>
            <w:noWrap/>
            <w:vAlign w:val="center"/>
            <w:hideMark/>
          </w:tcPr>
          <w:p w:rsidR="001D096B" w:rsidRPr="00C679FF" w:rsidRDefault="001D096B" w:rsidP="001D096B">
            <w:pPr>
              <w:spacing w:after="0" w:line="240" w:lineRule="auto"/>
              <w:jc w:val="right"/>
              <w:rPr>
                <w:rFonts w:ascii="Arial" w:eastAsia="Times New Roman" w:hAnsi="Arial" w:cs="Arial"/>
                <w:color w:val="000000"/>
                <w:sz w:val="16"/>
                <w:szCs w:val="16"/>
                <w:lang w:eastAsia="hr-HR"/>
              </w:rPr>
            </w:pPr>
            <w:r w:rsidRPr="00C679FF">
              <w:rPr>
                <w:rFonts w:ascii="Arial" w:eastAsia="Times New Roman" w:hAnsi="Arial" w:cs="Arial"/>
                <w:color w:val="000000"/>
                <w:sz w:val="16"/>
                <w:szCs w:val="16"/>
                <w:lang w:eastAsia="hr-HR"/>
              </w:rPr>
              <w:t>,431</w:t>
            </w:r>
          </w:p>
        </w:tc>
      </w:tr>
      <w:tr w:rsidR="001D096B" w:rsidRPr="00C679FF" w:rsidTr="00466331">
        <w:trPr>
          <w:trHeight w:val="300"/>
          <w:jc w:val="center"/>
        </w:trPr>
        <w:tc>
          <w:tcPr>
            <w:tcW w:w="1352" w:type="dxa"/>
            <w:tcBorders>
              <w:top w:val="nil"/>
              <w:left w:val="single" w:sz="4" w:space="0" w:color="000080"/>
              <w:bottom w:val="single" w:sz="4" w:space="0" w:color="000080"/>
              <w:right w:val="single" w:sz="4" w:space="0" w:color="000080"/>
            </w:tcBorders>
            <w:shd w:val="clear" w:color="auto" w:fill="auto"/>
            <w:noWrap/>
            <w:vAlign w:val="center"/>
            <w:hideMark/>
          </w:tcPr>
          <w:p w:rsidR="001D096B" w:rsidRPr="00C679FF" w:rsidRDefault="001D096B" w:rsidP="00C679FF">
            <w:pPr>
              <w:spacing w:after="0" w:line="240" w:lineRule="auto"/>
              <w:ind w:firstLineChars="200" w:firstLine="320"/>
              <w:rPr>
                <w:rFonts w:ascii="Arial" w:eastAsia="Times New Roman" w:hAnsi="Arial" w:cs="Arial"/>
                <w:sz w:val="16"/>
                <w:szCs w:val="16"/>
                <w:lang w:eastAsia="hr-HR"/>
              </w:rPr>
            </w:pPr>
            <w:r w:rsidRPr="00C679FF">
              <w:rPr>
                <w:rFonts w:ascii="Arial" w:eastAsia="Times New Roman" w:hAnsi="Arial" w:cs="Arial"/>
                <w:sz w:val="16"/>
                <w:szCs w:val="16"/>
                <w:lang w:eastAsia="hr-HR"/>
              </w:rPr>
              <w:t>- ostali izvori</w:t>
            </w:r>
          </w:p>
        </w:tc>
        <w:tc>
          <w:tcPr>
            <w:tcW w:w="991" w:type="dxa"/>
            <w:tcBorders>
              <w:top w:val="nil"/>
              <w:left w:val="nil"/>
              <w:bottom w:val="single" w:sz="4" w:space="0" w:color="000080"/>
              <w:right w:val="single" w:sz="4" w:space="0" w:color="000080"/>
            </w:tcBorders>
            <w:shd w:val="clear" w:color="auto" w:fill="auto"/>
            <w:noWrap/>
            <w:vAlign w:val="center"/>
            <w:hideMark/>
          </w:tcPr>
          <w:p w:rsidR="001D096B" w:rsidRPr="00C679FF" w:rsidRDefault="001D096B" w:rsidP="001D096B">
            <w:pPr>
              <w:spacing w:after="0" w:line="240" w:lineRule="auto"/>
              <w:jc w:val="right"/>
              <w:rPr>
                <w:rFonts w:ascii="Arial" w:eastAsia="Times New Roman" w:hAnsi="Arial" w:cs="Arial"/>
                <w:b/>
                <w:bCs/>
                <w:color w:val="000000"/>
                <w:sz w:val="16"/>
                <w:szCs w:val="16"/>
                <w:lang w:eastAsia="hr-HR"/>
              </w:rPr>
            </w:pPr>
            <w:r w:rsidRPr="00C679FF">
              <w:rPr>
                <w:rFonts w:ascii="Arial" w:eastAsia="Times New Roman" w:hAnsi="Arial" w:cs="Arial"/>
                <w:b/>
                <w:bCs/>
                <w:color w:val="000000"/>
                <w:sz w:val="16"/>
                <w:szCs w:val="16"/>
                <w:lang w:eastAsia="hr-HR"/>
              </w:rPr>
              <w:t>4,549</w:t>
            </w:r>
          </w:p>
        </w:tc>
        <w:tc>
          <w:tcPr>
            <w:tcW w:w="1183" w:type="dxa"/>
            <w:tcBorders>
              <w:top w:val="nil"/>
              <w:left w:val="nil"/>
              <w:bottom w:val="single" w:sz="4" w:space="0" w:color="000080"/>
              <w:right w:val="single" w:sz="4" w:space="0" w:color="000080"/>
            </w:tcBorders>
            <w:shd w:val="clear" w:color="auto" w:fill="auto"/>
            <w:noWrap/>
            <w:vAlign w:val="center"/>
            <w:hideMark/>
          </w:tcPr>
          <w:p w:rsidR="001D096B" w:rsidRPr="00C679FF" w:rsidRDefault="001D096B" w:rsidP="001D096B">
            <w:pPr>
              <w:spacing w:after="0" w:line="240" w:lineRule="auto"/>
              <w:jc w:val="right"/>
              <w:rPr>
                <w:rFonts w:ascii="Arial" w:eastAsia="Times New Roman" w:hAnsi="Arial" w:cs="Arial"/>
                <w:color w:val="000000"/>
                <w:sz w:val="16"/>
                <w:szCs w:val="16"/>
                <w:lang w:eastAsia="hr-HR"/>
              </w:rPr>
            </w:pPr>
            <w:r w:rsidRPr="00C679FF">
              <w:rPr>
                <w:rFonts w:ascii="Arial" w:eastAsia="Times New Roman" w:hAnsi="Arial" w:cs="Arial"/>
                <w:color w:val="000000"/>
                <w:sz w:val="16"/>
                <w:szCs w:val="16"/>
                <w:lang w:eastAsia="hr-HR"/>
              </w:rPr>
              <w:t>4,466</w:t>
            </w:r>
          </w:p>
        </w:tc>
        <w:tc>
          <w:tcPr>
            <w:tcW w:w="1054" w:type="dxa"/>
            <w:tcBorders>
              <w:top w:val="nil"/>
              <w:left w:val="nil"/>
              <w:bottom w:val="single" w:sz="4" w:space="0" w:color="000080"/>
              <w:right w:val="single" w:sz="4" w:space="0" w:color="000080"/>
            </w:tcBorders>
            <w:shd w:val="clear" w:color="auto" w:fill="auto"/>
            <w:noWrap/>
            <w:vAlign w:val="center"/>
            <w:hideMark/>
          </w:tcPr>
          <w:p w:rsidR="001D096B" w:rsidRPr="00C679FF" w:rsidRDefault="001D096B" w:rsidP="001D096B">
            <w:pPr>
              <w:spacing w:after="0" w:line="240" w:lineRule="auto"/>
              <w:jc w:val="right"/>
              <w:rPr>
                <w:rFonts w:ascii="Arial" w:eastAsia="Times New Roman" w:hAnsi="Arial" w:cs="Arial"/>
                <w:color w:val="000000"/>
                <w:sz w:val="16"/>
                <w:szCs w:val="16"/>
                <w:lang w:eastAsia="hr-HR"/>
              </w:rPr>
            </w:pPr>
            <w:r w:rsidRPr="00C679FF">
              <w:rPr>
                <w:rFonts w:ascii="Arial" w:eastAsia="Times New Roman" w:hAnsi="Arial" w:cs="Arial"/>
                <w:color w:val="000000"/>
                <w:sz w:val="16"/>
                <w:szCs w:val="16"/>
                <w:lang w:eastAsia="hr-HR"/>
              </w:rPr>
              <w:t>,083</w:t>
            </w:r>
          </w:p>
        </w:tc>
      </w:tr>
    </w:tbl>
    <w:p w:rsidR="006A14F9" w:rsidRPr="00FA7F54" w:rsidRDefault="006A14F9" w:rsidP="006A14F9">
      <w:pPr>
        <w:shd w:val="clear" w:color="auto" w:fill="FFFFFF"/>
        <w:spacing w:after="0" w:line="240" w:lineRule="auto"/>
        <w:ind w:firstLine="360"/>
        <w:jc w:val="both"/>
        <w:rPr>
          <w:rFonts w:ascii="Times New Roman" w:hAnsi="Times New Roman" w:cs="Times New Roman"/>
          <w:u w:val="single"/>
        </w:rPr>
      </w:pPr>
      <w:r w:rsidRPr="00FA7F54">
        <w:rPr>
          <w:rFonts w:ascii="Times New Roman" w:hAnsi="Times New Roman" w:cs="Times New Roman"/>
          <w:u w:val="single"/>
        </w:rPr>
        <w:t>Mjere za smanjenje odnosno optimizaciju rashoda:</w:t>
      </w:r>
    </w:p>
    <w:p w:rsidR="00CC7DE0" w:rsidRDefault="00A57714" w:rsidP="00C33461">
      <w:pPr>
        <w:pStyle w:val="Odlomakpopisa"/>
        <w:numPr>
          <w:ilvl w:val="0"/>
          <w:numId w:val="20"/>
        </w:numPr>
        <w:spacing w:after="0" w:line="240" w:lineRule="auto"/>
        <w:ind w:left="0" w:firstLine="360"/>
        <w:jc w:val="both"/>
        <w:rPr>
          <w:rFonts w:ascii="Times New Roman" w:hAnsi="Times New Roman" w:cs="Times New Roman"/>
          <w:bCs/>
        </w:rPr>
      </w:pPr>
      <w:r w:rsidRPr="0041281D">
        <w:rPr>
          <w:rFonts w:ascii="Times New Roman" w:hAnsi="Times New Roman" w:cs="Times New Roman"/>
          <w:bCs/>
        </w:rPr>
        <w:t>Za navedene naknade nije moguće utvrđivati standardni tr</w:t>
      </w:r>
      <w:r w:rsidR="00E34CAD">
        <w:rPr>
          <w:rFonts w:ascii="Times New Roman" w:hAnsi="Times New Roman" w:cs="Times New Roman"/>
          <w:bCs/>
        </w:rPr>
        <w:t xml:space="preserve">ošak, ali je potrebno izraditi </w:t>
      </w:r>
      <w:proofErr w:type="spellStart"/>
      <w:r w:rsidR="00E34CAD">
        <w:rPr>
          <w:rFonts w:ascii="Times New Roman" w:hAnsi="Times New Roman" w:cs="Times New Roman"/>
          <w:bCs/>
        </w:rPr>
        <w:t>c</w:t>
      </w:r>
      <w:r w:rsidRPr="0041281D">
        <w:rPr>
          <w:rFonts w:ascii="Times New Roman" w:hAnsi="Times New Roman" w:cs="Times New Roman"/>
          <w:bCs/>
        </w:rPr>
        <w:t>ost</w:t>
      </w:r>
      <w:proofErr w:type="spellEnd"/>
      <w:r w:rsidR="00E34CAD">
        <w:rPr>
          <w:rFonts w:ascii="Times New Roman" w:hAnsi="Times New Roman" w:cs="Times New Roman"/>
          <w:bCs/>
        </w:rPr>
        <w:t>-</w:t>
      </w:r>
      <w:r w:rsidRPr="0041281D">
        <w:rPr>
          <w:rFonts w:ascii="Times New Roman" w:hAnsi="Times New Roman" w:cs="Times New Roman"/>
          <w:bCs/>
        </w:rPr>
        <w:t xml:space="preserve"> </w:t>
      </w:r>
      <w:proofErr w:type="spellStart"/>
      <w:r w:rsidRPr="0041281D">
        <w:rPr>
          <w:rFonts w:ascii="Times New Roman" w:hAnsi="Times New Roman" w:cs="Times New Roman"/>
          <w:bCs/>
        </w:rPr>
        <w:t>benefit</w:t>
      </w:r>
      <w:proofErr w:type="spellEnd"/>
      <w:r w:rsidRPr="0041281D">
        <w:rPr>
          <w:rFonts w:ascii="Times New Roman" w:hAnsi="Times New Roman" w:cs="Times New Roman"/>
          <w:bCs/>
        </w:rPr>
        <w:t xml:space="preserve"> analizu u slučaju da se inspekcijskim službama osigura korištenje službenih automobila (preraspodjelom voznog parka na nivou državne uprave). </w:t>
      </w:r>
    </w:p>
    <w:p w:rsidR="00A57714" w:rsidRPr="0041281D" w:rsidRDefault="00CC7DE0" w:rsidP="00C33461">
      <w:pPr>
        <w:pStyle w:val="Odlomakpopisa"/>
        <w:numPr>
          <w:ilvl w:val="0"/>
          <w:numId w:val="20"/>
        </w:numPr>
        <w:spacing w:after="0" w:line="240" w:lineRule="auto"/>
        <w:ind w:left="0" w:firstLine="360"/>
        <w:jc w:val="both"/>
        <w:rPr>
          <w:rFonts w:ascii="Times New Roman" w:hAnsi="Times New Roman" w:cs="Times New Roman"/>
          <w:bCs/>
        </w:rPr>
      </w:pPr>
      <w:r>
        <w:rPr>
          <w:rFonts w:ascii="Times New Roman" w:hAnsi="Times New Roman" w:cs="Times New Roman"/>
          <w:bCs/>
        </w:rPr>
        <w:t>I</w:t>
      </w:r>
      <w:r w:rsidR="006901A4" w:rsidRPr="0041281D">
        <w:rPr>
          <w:rFonts w:ascii="Times New Roman" w:hAnsi="Times New Roman" w:cs="Times New Roman"/>
          <w:bCs/>
        </w:rPr>
        <w:t xml:space="preserve">dentificirati koji </w:t>
      </w:r>
      <w:r w:rsidR="000418FE">
        <w:rPr>
          <w:rFonts w:ascii="Times New Roman" w:hAnsi="Times New Roman" w:cs="Times New Roman"/>
          <w:bCs/>
        </w:rPr>
        <w:t>korisnici</w:t>
      </w:r>
      <w:r w:rsidR="006901A4" w:rsidRPr="0041281D">
        <w:rPr>
          <w:rFonts w:ascii="Times New Roman" w:hAnsi="Times New Roman" w:cs="Times New Roman"/>
          <w:bCs/>
        </w:rPr>
        <w:t xml:space="preserve"> posjeduju vozi</w:t>
      </w:r>
      <w:r w:rsidR="00787BE5" w:rsidRPr="0041281D">
        <w:rPr>
          <w:rFonts w:ascii="Times New Roman" w:hAnsi="Times New Roman" w:cs="Times New Roman"/>
          <w:bCs/>
        </w:rPr>
        <w:t>la koje mogu</w:t>
      </w:r>
      <w:r w:rsidR="006901A4" w:rsidRPr="0041281D">
        <w:rPr>
          <w:rFonts w:ascii="Times New Roman" w:hAnsi="Times New Roman" w:cs="Times New Roman"/>
          <w:bCs/>
        </w:rPr>
        <w:t xml:space="preserve"> </w:t>
      </w:r>
      <w:r w:rsidR="00787BE5" w:rsidRPr="0041281D">
        <w:rPr>
          <w:rFonts w:ascii="Times New Roman" w:hAnsi="Times New Roman" w:cs="Times New Roman"/>
          <w:bCs/>
        </w:rPr>
        <w:t>ustupiti</w:t>
      </w:r>
      <w:r w:rsidR="006901A4" w:rsidRPr="0041281D">
        <w:rPr>
          <w:rFonts w:ascii="Times New Roman" w:hAnsi="Times New Roman" w:cs="Times New Roman"/>
          <w:bCs/>
        </w:rPr>
        <w:t xml:space="preserve"> drugim proračunskim korisnicima na korištenje</w:t>
      </w:r>
      <w:r w:rsidR="00676A55" w:rsidRPr="0041281D">
        <w:rPr>
          <w:rFonts w:ascii="Times New Roman" w:hAnsi="Times New Roman" w:cs="Times New Roman"/>
          <w:bCs/>
        </w:rPr>
        <w:t xml:space="preserve"> i kako ugovorno riješiti međusobna prava i obveze nominalnog vlasnika i korisnika voznog parka</w:t>
      </w:r>
      <w:r w:rsidR="006901A4" w:rsidRPr="0041281D">
        <w:rPr>
          <w:rFonts w:ascii="Times New Roman" w:hAnsi="Times New Roman" w:cs="Times New Roman"/>
          <w:bCs/>
        </w:rPr>
        <w:t>.</w:t>
      </w:r>
    </w:p>
    <w:p w:rsidR="00564882" w:rsidRPr="00FA7F54" w:rsidRDefault="0035401A" w:rsidP="00922D60">
      <w:pPr>
        <w:pStyle w:val="Naslov1"/>
        <w:numPr>
          <w:ilvl w:val="0"/>
          <w:numId w:val="4"/>
        </w:numPr>
        <w:ind w:left="567" w:hanging="567"/>
        <w:rPr>
          <w:rFonts w:ascii="Times New Roman" w:hAnsi="Times New Roman" w:cs="Times New Roman"/>
          <w:color w:val="auto"/>
          <w:sz w:val="22"/>
          <w:szCs w:val="22"/>
        </w:rPr>
      </w:pPr>
      <w:bookmarkStart w:id="32" w:name="_Toc434411179"/>
      <w:bookmarkStart w:id="33" w:name="_Toc436402322"/>
      <w:r w:rsidRPr="00FA7F54">
        <w:rPr>
          <w:rFonts w:ascii="Times New Roman" w:hAnsi="Times New Roman" w:cs="Times New Roman"/>
          <w:color w:val="auto"/>
          <w:sz w:val="22"/>
          <w:szCs w:val="22"/>
        </w:rPr>
        <w:t>RASHODI ZA MATERIJAL I ENERGIJU</w:t>
      </w:r>
      <w:r w:rsidR="00542CB8" w:rsidRPr="00FA7F54">
        <w:rPr>
          <w:rFonts w:ascii="Times New Roman" w:hAnsi="Times New Roman" w:cs="Times New Roman"/>
          <w:color w:val="auto"/>
          <w:sz w:val="22"/>
          <w:szCs w:val="22"/>
        </w:rPr>
        <w:t xml:space="preserve"> (322)</w:t>
      </w:r>
      <w:bookmarkEnd w:id="32"/>
      <w:bookmarkEnd w:id="33"/>
    </w:p>
    <w:p w:rsidR="00DD6E06" w:rsidRPr="00FA7F54" w:rsidRDefault="00BD2F8B" w:rsidP="00C83540">
      <w:pPr>
        <w:spacing w:line="240" w:lineRule="auto"/>
        <w:jc w:val="both"/>
        <w:rPr>
          <w:rFonts w:ascii="Times New Roman" w:hAnsi="Times New Roman" w:cs="Times New Roman"/>
        </w:rPr>
      </w:pPr>
      <w:r w:rsidRPr="00FA7F54">
        <w:rPr>
          <w:rFonts w:ascii="Times New Roman" w:hAnsi="Times New Roman" w:cs="Times New Roman"/>
        </w:rPr>
        <w:t>Rashodi za materijal i energiju prema financijskim izvještajima iznose 4,506 ml</w:t>
      </w:r>
      <w:r w:rsidR="00676A55" w:rsidRPr="00FA7F54">
        <w:rPr>
          <w:rFonts w:ascii="Times New Roman" w:hAnsi="Times New Roman" w:cs="Times New Roman"/>
        </w:rPr>
        <w:t>r</w:t>
      </w:r>
      <w:r w:rsidRPr="00FA7F54">
        <w:rPr>
          <w:rFonts w:ascii="Times New Roman" w:hAnsi="Times New Roman" w:cs="Times New Roman"/>
        </w:rPr>
        <w:t xml:space="preserve">d. </w:t>
      </w:r>
      <w:r w:rsidR="00933C67">
        <w:rPr>
          <w:rFonts w:ascii="Times New Roman" w:hAnsi="Times New Roman" w:cs="Times New Roman"/>
        </w:rPr>
        <w:t xml:space="preserve">kuna </w:t>
      </w:r>
      <w:r w:rsidRPr="00FA7F54">
        <w:rPr>
          <w:rFonts w:ascii="Times New Roman" w:hAnsi="Times New Roman" w:cs="Times New Roman"/>
        </w:rPr>
        <w:t>u 2013. godini odnosno 4,451 ml</w:t>
      </w:r>
      <w:r w:rsidR="00676A55" w:rsidRPr="00FA7F54">
        <w:rPr>
          <w:rFonts w:ascii="Times New Roman" w:hAnsi="Times New Roman" w:cs="Times New Roman"/>
        </w:rPr>
        <w:t>r</w:t>
      </w:r>
      <w:r w:rsidRPr="00FA7F54">
        <w:rPr>
          <w:rFonts w:ascii="Times New Roman" w:hAnsi="Times New Roman" w:cs="Times New Roman"/>
        </w:rPr>
        <w:t xml:space="preserve">d. </w:t>
      </w:r>
      <w:r w:rsidR="00933C67">
        <w:rPr>
          <w:rFonts w:ascii="Times New Roman" w:hAnsi="Times New Roman" w:cs="Times New Roman"/>
        </w:rPr>
        <w:t xml:space="preserve">kuna </w:t>
      </w:r>
      <w:r w:rsidRPr="00FA7F54">
        <w:rPr>
          <w:rFonts w:ascii="Times New Roman" w:hAnsi="Times New Roman" w:cs="Times New Roman"/>
        </w:rPr>
        <w:t xml:space="preserve">u 2014. godini. </w:t>
      </w:r>
      <w:r w:rsidR="009A6312" w:rsidRPr="00FA7F54">
        <w:rPr>
          <w:rFonts w:ascii="Times New Roman" w:hAnsi="Times New Roman" w:cs="Times New Roman"/>
        </w:rPr>
        <w:t>Najveći udio u rashodima za materijal i energiju čine materijal i sirovine (u 2014. godini 55</w:t>
      </w:r>
      <w:r w:rsidR="00933C67">
        <w:rPr>
          <w:rFonts w:ascii="Times New Roman" w:hAnsi="Times New Roman" w:cs="Times New Roman"/>
        </w:rPr>
        <w:t>%</w:t>
      </w:r>
      <w:r w:rsidR="009A6312" w:rsidRPr="00FA7F54">
        <w:rPr>
          <w:rFonts w:ascii="Times New Roman" w:hAnsi="Times New Roman" w:cs="Times New Roman"/>
        </w:rPr>
        <w:t>) te rashodi za energiju (u 2014. godini 20</w:t>
      </w:r>
      <w:r w:rsidR="00933C67">
        <w:rPr>
          <w:rFonts w:ascii="Times New Roman" w:hAnsi="Times New Roman" w:cs="Times New Roman"/>
        </w:rPr>
        <w:t>%</w:t>
      </w:r>
      <w:r w:rsidR="009A6312" w:rsidRPr="00FA7F54">
        <w:rPr>
          <w:rFonts w:ascii="Times New Roman" w:hAnsi="Times New Roman" w:cs="Times New Roman"/>
        </w:rPr>
        <w:t xml:space="preserve">). </w:t>
      </w:r>
    </w:p>
    <w:p w:rsidR="009835A2" w:rsidRPr="00933C67" w:rsidRDefault="009835A2" w:rsidP="006B7B79">
      <w:pPr>
        <w:pStyle w:val="Opisslike"/>
        <w:spacing w:after="0"/>
        <w:jc w:val="both"/>
        <w:rPr>
          <w:rFonts w:ascii="Times New Roman" w:hAnsi="Times New Roman" w:cs="Times New Roman"/>
          <w:sz w:val="20"/>
          <w:szCs w:val="20"/>
        </w:rPr>
      </w:pPr>
      <w:bookmarkStart w:id="34" w:name="_Toc436402261"/>
      <w:r w:rsidRPr="006B7B79">
        <w:rPr>
          <w:rFonts w:ascii="Times New Roman" w:hAnsi="Times New Roman" w:cs="Times New Roman"/>
          <w:sz w:val="20"/>
          <w:szCs w:val="20"/>
        </w:rPr>
        <w:lastRenderedPageBreak/>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14</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 xml:space="preserve">: </w:t>
      </w:r>
      <w:r w:rsidR="00D65BA6" w:rsidRPr="006B7B79">
        <w:rPr>
          <w:rFonts w:ascii="Times New Roman" w:hAnsi="Times New Roman" w:cs="Times New Roman"/>
          <w:sz w:val="20"/>
          <w:szCs w:val="20"/>
        </w:rPr>
        <w:t>Rashodi za materijal i energiju prema podacima iskazanim u financijskim izvještajima proračunskih i izvanproračunskih korisnika za 2013. i 2014. godinu</w:t>
      </w:r>
      <w:bookmarkEnd w:id="34"/>
    </w:p>
    <w:p w:rsidR="009A6312" w:rsidRPr="00FA7F54" w:rsidRDefault="009A6312" w:rsidP="00C83540">
      <w:pPr>
        <w:spacing w:line="240" w:lineRule="auto"/>
        <w:jc w:val="both"/>
        <w:rPr>
          <w:rFonts w:ascii="Times New Roman" w:hAnsi="Times New Roman" w:cs="Times New Roman"/>
        </w:rPr>
      </w:pPr>
      <w:r w:rsidRPr="00FA7F54">
        <w:rPr>
          <w:noProof/>
          <w:lang w:eastAsia="hr-HR"/>
        </w:rPr>
        <w:drawing>
          <wp:inline distT="0" distB="0" distL="0" distR="0" wp14:anchorId="72AA4695" wp14:editId="0962BBBE">
            <wp:extent cx="5760720" cy="1517904"/>
            <wp:effectExtent l="0" t="0" r="0" b="635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1517904"/>
                    </a:xfrm>
                    <a:prstGeom prst="rect">
                      <a:avLst/>
                    </a:prstGeom>
                    <a:noFill/>
                    <a:ln>
                      <a:noFill/>
                    </a:ln>
                  </pic:spPr>
                </pic:pic>
              </a:graphicData>
            </a:graphic>
          </wp:inline>
        </w:drawing>
      </w:r>
    </w:p>
    <w:p w:rsidR="000157BA" w:rsidRPr="00FA7F54" w:rsidRDefault="00BD2F8B" w:rsidP="00C83540">
      <w:pPr>
        <w:spacing w:line="240" w:lineRule="auto"/>
        <w:jc w:val="both"/>
        <w:rPr>
          <w:rFonts w:ascii="Times New Roman" w:hAnsi="Times New Roman" w:cs="Times New Roman"/>
        </w:rPr>
      </w:pPr>
      <w:r w:rsidRPr="00FA7F54">
        <w:rPr>
          <w:rFonts w:ascii="Times New Roman" w:hAnsi="Times New Roman" w:cs="Times New Roman"/>
        </w:rPr>
        <w:t>U državnom se proračunu rashodi za materijal i energiju kreću na razini 1,</w:t>
      </w:r>
      <w:r w:rsidR="00933C67">
        <w:rPr>
          <w:rFonts w:ascii="Times New Roman" w:hAnsi="Times New Roman" w:cs="Times New Roman"/>
        </w:rPr>
        <w:t>8</w:t>
      </w:r>
      <w:r w:rsidR="00933C67" w:rsidRPr="00FA7F54">
        <w:rPr>
          <w:rFonts w:ascii="Times New Roman" w:hAnsi="Times New Roman" w:cs="Times New Roman"/>
        </w:rPr>
        <w:t xml:space="preserve"> </w:t>
      </w:r>
      <w:r w:rsidRPr="00FA7F54">
        <w:rPr>
          <w:rFonts w:ascii="Times New Roman" w:hAnsi="Times New Roman" w:cs="Times New Roman"/>
        </w:rPr>
        <w:t>ml</w:t>
      </w:r>
      <w:r w:rsidR="00676A55" w:rsidRPr="00FA7F54">
        <w:rPr>
          <w:rFonts w:ascii="Times New Roman" w:hAnsi="Times New Roman" w:cs="Times New Roman"/>
        </w:rPr>
        <w:t>r</w:t>
      </w:r>
      <w:r w:rsidRPr="00FA7F54">
        <w:rPr>
          <w:rFonts w:ascii="Times New Roman" w:hAnsi="Times New Roman" w:cs="Times New Roman"/>
        </w:rPr>
        <w:t xml:space="preserve">d. </w:t>
      </w:r>
      <w:r w:rsidR="00933C67">
        <w:rPr>
          <w:rFonts w:ascii="Times New Roman" w:hAnsi="Times New Roman" w:cs="Times New Roman"/>
        </w:rPr>
        <w:t xml:space="preserve">kuna </w:t>
      </w:r>
      <w:r w:rsidRPr="00FA7F54">
        <w:rPr>
          <w:rFonts w:ascii="Times New Roman" w:hAnsi="Times New Roman" w:cs="Times New Roman"/>
        </w:rPr>
        <w:t>u 2013. odnosno 1,</w:t>
      </w:r>
      <w:r w:rsidR="00933C67">
        <w:rPr>
          <w:rFonts w:ascii="Times New Roman" w:hAnsi="Times New Roman" w:cs="Times New Roman"/>
        </w:rPr>
        <w:t>7</w:t>
      </w:r>
      <w:r w:rsidR="00933C67" w:rsidRPr="00FA7F54">
        <w:rPr>
          <w:rFonts w:ascii="Times New Roman" w:hAnsi="Times New Roman" w:cs="Times New Roman"/>
        </w:rPr>
        <w:t xml:space="preserve"> </w:t>
      </w:r>
      <w:r w:rsidRPr="00FA7F54">
        <w:rPr>
          <w:rFonts w:ascii="Times New Roman" w:hAnsi="Times New Roman" w:cs="Times New Roman"/>
        </w:rPr>
        <w:t>ml</w:t>
      </w:r>
      <w:r w:rsidR="00676A55" w:rsidRPr="00FA7F54">
        <w:rPr>
          <w:rFonts w:ascii="Times New Roman" w:hAnsi="Times New Roman" w:cs="Times New Roman"/>
        </w:rPr>
        <w:t>r</w:t>
      </w:r>
      <w:r w:rsidRPr="00FA7F54">
        <w:rPr>
          <w:rFonts w:ascii="Times New Roman" w:hAnsi="Times New Roman" w:cs="Times New Roman"/>
        </w:rPr>
        <w:t>d.</w:t>
      </w:r>
      <w:r w:rsidR="00933C67">
        <w:rPr>
          <w:rFonts w:ascii="Times New Roman" w:hAnsi="Times New Roman" w:cs="Times New Roman"/>
        </w:rPr>
        <w:t xml:space="preserve"> kuna</w:t>
      </w:r>
      <w:r w:rsidRPr="00FA7F54">
        <w:rPr>
          <w:rFonts w:ascii="Times New Roman" w:hAnsi="Times New Roman" w:cs="Times New Roman"/>
        </w:rPr>
        <w:t xml:space="preserve"> u 2014. godini od čega se oko 90% financira iz izvora u limitu. U 2015. godini, s uključivanjem vlastitih i namjenskih prihoda u državni proračun, razvidno je povećanje rashod</w:t>
      </w:r>
      <w:r w:rsidR="006F7335">
        <w:rPr>
          <w:rFonts w:ascii="Times New Roman" w:hAnsi="Times New Roman" w:cs="Times New Roman"/>
        </w:rPr>
        <w:t>a za materijal i energiju za 52</w:t>
      </w:r>
      <w:r w:rsidR="00933C67">
        <w:rPr>
          <w:rFonts w:ascii="Times New Roman" w:hAnsi="Times New Roman" w:cs="Times New Roman"/>
        </w:rPr>
        <w:t>%</w:t>
      </w:r>
      <w:r w:rsidRPr="00FA7F54">
        <w:rPr>
          <w:rFonts w:ascii="Times New Roman" w:hAnsi="Times New Roman" w:cs="Times New Roman"/>
        </w:rPr>
        <w:t xml:space="preserve"> ili 873 mil. kuna. Financiranje ovih rashoda iz izvora u limitu smanjeno je za 20</w:t>
      </w:r>
      <w:r w:rsidR="00933C67">
        <w:rPr>
          <w:rFonts w:ascii="Times New Roman" w:hAnsi="Times New Roman" w:cs="Times New Roman"/>
        </w:rPr>
        <w:t>%</w:t>
      </w:r>
      <w:r w:rsidRPr="00FA7F54">
        <w:rPr>
          <w:rFonts w:ascii="Times New Roman" w:hAnsi="Times New Roman" w:cs="Times New Roman"/>
        </w:rPr>
        <w:t>na 1,2 ml</w:t>
      </w:r>
      <w:r w:rsidR="00676A55" w:rsidRPr="00FA7F54">
        <w:rPr>
          <w:rFonts w:ascii="Times New Roman" w:hAnsi="Times New Roman" w:cs="Times New Roman"/>
        </w:rPr>
        <w:t>r</w:t>
      </w:r>
      <w:r w:rsidRPr="00FA7F54">
        <w:rPr>
          <w:rFonts w:ascii="Times New Roman" w:hAnsi="Times New Roman" w:cs="Times New Roman"/>
        </w:rPr>
        <w:t>d.</w:t>
      </w:r>
      <w:r w:rsidR="00933C67">
        <w:rPr>
          <w:rFonts w:ascii="Times New Roman" w:hAnsi="Times New Roman" w:cs="Times New Roman"/>
        </w:rPr>
        <w:t xml:space="preserve"> kuna</w:t>
      </w:r>
      <w:r w:rsidRPr="00FA7F54">
        <w:rPr>
          <w:rFonts w:ascii="Times New Roman" w:hAnsi="Times New Roman" w:cs="Times New Roman"/>
        </w:rPr>
        <w:t xml:space="preserve"> dok financiranje iz drugih izvora iznosi 1,</w:t>
      </w:r>
      <w:r w:rsidR="00933C67">
        <w:rPr>
          <w:rFonts w:ascii="Times New Roman" w:hAnsi="Times New Roman" w:cs="Times New Roman"/>
        </w:rPr>
        <w:t>4</w:t>
      </w:r>
      <w:r w:rsidR="00933C67" w:rsidRPr="00FA7F54">
        <w:rPr>
          <w:rFonts w:ascii="Times New Roman" w:hAnsi="Times New Roman" w:cs="Times New Roman"/>
        </w:rPr>
        <w:t xml:space="preserve"> </w:t>
      </w:r>
      <w:r w:rsidRPr="00FA7F54">
        <w:rPr>
          <w:rFonts w:ascii="Times New Roman" w:hAnsi="Times New Roman" w:cs="Times New Roman"/>
        </w:rPr>
        <w:t>ml</w:t>
      </w:r>
      <w:r w:rsidR="00676A55" w:rsidRPr="00FA7F54">
        <w:rPr>
          <w:rFonts w:ascii="Times New Roman" w:hAnsi="Times New Roman" w:cs="Times New Roman"/>
        </w:rPr>
        <w:t>r</w:t>
      </w:r>
      <w:r w:rsidRPr="00FA7F54">
        <w:rPr>
          <w:rFonts w:ascii="Times New Roman" w:hAnsi="Times New Roman" w:cs="Times New Roman"/>
        </w:rPr>
        <w:t>d. kuna što u ukupnom iznosu čini 2,5 ml</w:t>
      </w:r>
      <w:r w:rsidR="00676A55" w:rsidRPr="00FA7F54">
        <w:rPr>
          <w:rFonts w:ascii="Times New Roman" w:hAnsi="Times New Roman" w:cs="Times New Roman"/>
        </w:rPr>
        <w:t>r</w:t>
      </w:r>
      <w:r w:rsidRPr="00FA7F54">
        <w:rPr>
          <w:rFonts w:ascii="Times New Roman" w:hAnsi="Times New Roman" w:cs="Times New Roman"/>
        </w:rPr>
        <w:t>d. kuna rashoda za materijal i energiju.</w:t>
      </w:r>
    </w:p>
    <w:p w:rsidR="009835A2" w:rsidRPr="00933C67" w:rsidRDefault="009835A2" w:rsidP="006B7B79">
      <w:pPr>
        <w:pStyle w:val="Opisslike"/>
        <w:spacing w:after="0"/>
        <w:jc w:val="both"/>
        <w:rPr>
          <w:rFonts w:ascii="Times New Roman" w:hAnsi="Times New Roman" w:cs="Times New Roman"/>
          <w:sz w:val="20"/>
          <w:szCs w:val="20"/>
        </w:rPr>
      </w:pPr>
      <w:bookmarkStart w:id="35" w:name="_Toc436402262"/>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15</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 xml:space="preserve">: </w:t>
      </w:r>
      <w:r w:rsidR="00FC3325" w:rsidRPr="006B7B79">
        <w:rPr>
          <w:rFonts w:ascii="Times New Roman" w:hAnsi="Times New Roman" w:cs="Times New Roman"/>
          <w:sz w:val="20"/>
          <w:szCs w:val="20"/>
        </w:rPr>
        <w:t xml:space="preserve">Rashodi za materijal i energiju prema podacima iskazanim u državnom proračunu – izvršenje za </w:t>
      </w:r>
      <w:r w:rsidR="00820657" w:rsidRPr="006B7B79">
        <w:rPr>
          <w:rFonts w:ascii="Times New Roman" w:hAnsi="Times New Roman" w:cs="Times New Roman"/>
          <w:sz w:val="20"/>
          <w:szCs w:val="20"/>
        </w:rPr>
        <w:t>2013., 2014. i plan za 2015. (u mil.</w:t>
      </w:r>
      <w:r w:rsidR="00174003">
        <w:rPr>
          <w:rFonts w:ascii="Times New Roman" w:hAnsi="Times New Roman" w:cs="Times New Roman"/>
          <w:sz w:val="20"/>
          <w:szCs w:val="20"/>
        </w:rPr>
        <w:t xml:space="preserve"> </w:t>
      </w:r>
      <w:r w:rsidR="00933C67">
        <w:rPr>
          <w:rFonts w:ascii="Times New Roman" w:hAnsi="Times New Roman" w:cs="Times New Roman"/>
          <w:sz w:val="20"/>
          <w:szCs w:val="20"/>
        </w:rPr>
        <w:t>kuna</w:t>
      </w:r>
      <w:r w:rsidR="00820657" w:rsidRPr="006B7B79">
        <w:rPr>
          <w:rFonts w:ascii="Times New Roman" w:hAnsi="Times New Roman" w:cs="Times New Roman"/>
          <w:sz w:val="20"/>
          <w:szCs w:val="20"/>
        </w:rPr>
        <w:t>)</w:t>
      </w:r>
      <w:bookmarkEnd w:id="35"/>
    </w:p>
    <w:tbl>
      <w:tblPr>
        <w:tblW w:w="9140" w:type="dxa"/>
        <w:tblLook w:val="04A0" w:firstRow="1" w:lastRow="0" w:firstColumn="1" w:lastColumn="0" w:noHBand="0" w:noVBand="1"/>
      </w:tblPr>
      <w:tblGrid>
        <w:gridCol w:w="1300"/>
        <w:gridCol w:w="2420"/>
        <w:gridCol w:w="1362"/>
        <w:gridCol w:w="1362"/>
        <w:gridCol w:w="723"/>
        <w:gridCol w:w="1340"/>
        <w:gridCol w:w="723"/>
      </w:tblGrid>
      <w:tr w:rsidR="003A0F12" w:rsidRPr="00FC3325" w:rsidTr="00933C67">
        <w:trPr>
          <w:trHeight w:val="450"/>
        </w:trPr>
        <w:tc>
          <w:tcPr>
            <w:tcW w:w="1300" w:type="dxa"/>
            <w:tcBorders>
              <w:top w:val="single" w:sz="4" w:space="0" w:color="000080"/>
              <w:left w:val="single" w:sz="4" w:space="0" w:color="000080"/>
              <w:bottom w:val="single" w:sz="4" w:space="0" w:color="000080"/>
              <w:right w:val="single" w:sz="4" w:space="0" w:color="000080"/>
            </w:tcBorders>
            <w:shd w:val="clear" w:color="000000" w:fill="DCE6F1"/>
            <w:noWrap/>
            <w:vAlign w:val="center"/>
            <w:hideMark/>
          </w:tcPr>
          <w:p w:rsidR="003A0F12" w:rsidRPr="00FC3325" w:rsidRDefault="003A0F12" w:rsidP="00FC3325">
            <w:pPr>
              <w:spacing w:after="0" w:line="240" w:lineRule="auto"/>
              <w:ind w:firstLineChars="100" w:firstLine="160"/>
              <w:rPr>
                <w:rFonts w:ascii="Arial" w:eastAsia="Times New Roman" w:hAnsi="Arial" w:cs="Arial"/>
                <w:sz w:val="16"/>
                <w:szCs w:val="16"/>
                <w:lang w:eastAsia="hr-HR"/>
              </w:rPr>
            </w:pPr>
            <w:r w:rsidRPr="00FC3325">
              <w:rPr>
                <w:rFonts w:ascii="Arial" w:eastAsia="Times New Roman" w:hAnsi="Arial" w:cs="Arial"/>
                <w:sz w:val="16"/>
                <w:szCs w:val="16"/>
                <w:lang w:eastAsia="hr-HR"/>
              </w:rPr>
              <w:t> </w:t>
            </w:r>
          </w:p>
        </w:tc>
        <w:tc>
          <w:tcPr>
            <w:tcW w:w="2420" w:type="dxa"/>
            <w:tcBorders>
              <w:top w:val="single" w:sz="4" w:space="0" w:color="000080"/>
              <w:left w:val="nil"/>
              <w:bottom w:val="single" w:sz="4" w:space="0" w:color="000080"/>
              <w:right w:val="single" w:sz="4" w:space="0" w:color="000080"/>
            </w:tcBorders>
            <w:shd w:val="clear" w:color="000000" w:fill="DCE6F1"/>
            <w:noWrap/>
            <w:vAlign w:val="center"/>
            <w:hideMark/>
          </w:tcPr>
          <w:p w:rsidR="003A0F12" w:rsidRPr="00FC3325" w:rsidRDefault="003A0F12" w:rsidP="00FC3325">
            <w:pPr>
              <w:spacing w:after="0" w:line="240" w:lineRule="auto"/>
              <w:ind w:firstLineChars="100" w:firstLine="160"/>
              <w:rPr>
                <w:rFonts w:ascii="Arial" w:eastAsia="Times New Roman" w:hAnsi="Arial" w:cs="Arial"/>
                <w:sz w:val="16"/>
                <w:szCs w:val="16"/>
                <w:lang w:eastAsia="hr-HR"/>
              </w:rPr>
            </w:pPr>
            <w:r w:rsidRPr="00FC3325">
              <w:rPr>
                <w:rFonts w:ascii="Arial" w:eastAsia="Times New Roman" w:hAnsi="Arial" w:cs="Arial"/>
                <w:sz w:val="16"/>
                <w:szCs w:val="16"/>
                <w:lang w:eastAsia="hr-HR"/>
              </w:rPr>
              <w:t> </w:t>
            </w:r>
          </w:p>
        </w:tc>
        <w:tc>
          <w:tcPr>
            <w:tcW w:w="1362" w:type="dxa"/>
            <w:tcBorders>
              <w:top w:val="single" w:sz="4" w:space="0" w:color="000080"/>
              <w:left w:val="nil"/>
              <w:bottom w:val="single" w:sz="4" w:space="0" w:color="000080"/>
              <w:right w:val="single" w:sz="4" w:space="0" w:color="000080"/>
            </w:tcBorders>
            <w:shd w:val="clear" w:color="000000" w:fill="DCE6F1"/>
            <w:vAlign w:val="center"/>
            <w:hideMark/>
          </w:tcPr>
          <w:p w:rsidR="003A0F12" w:rsidRPr="00FC3325" w:rsidRDefault="003A0F12" w:rsidP="00933C67">
            <w:pPr>
              <w:spacing w:after="0" w:line="240" w:lineRule="auto"/>
              <w:jc w:val="center"/>
              <w:rPr>
                <w:rFonts w:ascii="Arial" w:eastAsia="Times New Roman" w:hAnsi="Arial" w:cs="Arial"/>
                <w:b/>
                <w:bCs/>
                <w:sz w:val="16"/>
                <w:szCs w:val="16"/>
                <w:lang w:eastAsia="hr-HR"/>
              </w:rPr>
            </w:pPr>
            <w:r w:rsidRPr="00FC3325">
              <w:rPr>
                <w:rFonts w:ascii="Arial" w:eastAsia="Times New Roman" w:hAnsi="Arial" w:cs="Arial"/>
                <w:b/>
                <w:bCs/>
                <w:sz w:val="16"/>
                <w:szCs w:val="16"/>
                <w:lang w:eastAsia="hr-HR"/>
              </w:rPr>
              <w:t>Izvršenje 2013.</w:t>
            </w:r>
          </w:p>
        </w:tc>
        <w:tc>
          <w:tcPr>
            <w:tcW w:w="1362" w:type="dxa"/>
            <w:tcBorders>
              <w:top w:val="single" w:sz="4" w:space="0" w:color="000080"/>
              <w:left w:val="nil"/>
              <w:bottom w:val="single" w:sz="4" w:space="0" w:color="000080"/>
              <w:right w:val="single" w:sz="4" w:space="0" w:color="000080"/>
            </w:tcBorders>
            <w:shd w:val="clear" w:color="000000" w:fill="DCE6F1"/>
            <w:vAlign w:val="center"/>
            <w:hideMark/>
          </w:tcPr>
          <w:p w:rsidR="003A0F12" w:rsidRPr="00FC3325" w:rsidRDefault="003A0F12" w:rsidP="00933C67">
            <w:pPr>
              <w:spacing w:after="0" w:line="240" w:lineRule="auto"/>
              <w:jc w:val="center"/>
              <w:rPr>
                <w:rFonts w:ascii="Arial" w:eastAsia="Times New Roman" w:hAnsi="Arial" w:cs="Arial"/>
                <w:b/>
                <w:bCs/>
                <w:sz w:val="16"/>
                <w:szCs w:val="16"/>
                <w:lang w:eastAsia="hr-HR"/>
              </w:rPr>
            </w:pPr>
            <w:r w:rsidRPr="00FC3325">
              <w:rPr>
                <w:rFonts w:ascii="Arial" w:eastAsia="Times New Roman" w:hAnsi="Arial" w:cs="Arial"/>
                <w:b/>
                <w:bCs/>
                <w:sz w:val="16"/>
                <w:szCs w:val="16"/>
                <w:lang w:eastAsia="hr-HR"/>
              </w:rPr>
              <w:t>Izvršenje 2014.</w:t>
            </w:r>
          </w:p>
        </w:tc>
        <w:tc>
          <w:tcPr>
            <w:tcW w:w="657" w:type="dxa"/>
            <w:tcBorders>
              <w:top w:val="single" w:sz="4" w:space="0" w:color="000080"/>
              <w:left w:val="nil"/>
              <w:bottom w:val="single" w:sz="4" w:space="0" w:color="000080"/>
              <w:right w:val="single" w:sz="4" w:space="0" w:color="000080"/>
            </w:tcBorders>
            <w:shd w:val="clear" w:color="000000" w:fill="DCE6F1"/>
            <w:vAlign w:val="center"/>
            <w:hideMark/>
          </w:tcPr>
          <w:p w:rsidR="003A0F12" w:rsidRPr="00FC3325" w:rsidRDefault="003A0F12" w:rsidP="00933C67">
            <w:pPr>
              <w:spacing w:after="0" w:line="240" w:lineRule="auto"/>
              <w:jc w:val="center"/>
              <w:rPr>
                <w:rFonts w:ascii="Arial" w:eastAsia="Times New Roman" w:hAnsi="Arial" w:cs="Arial"/>
                <w:b/>
                <w:bCs/>
                <w:sz w:val="16"/>
                <w:szCs w:val="16"/>
                <w:lang w:eastAsia="hr-HR"/>
              </w:rPr>
            </w:pPr>
            <w:r w:rsidRPr="00FC3325">
              <w:rPr>
                <w:rFonts w:ascii="Arial" w:eastAsia="Times New Roman" w:hAnsi="Arial" w:cs="Arial"/>
                <w:b/>
                <w:bCs/>
                <w:sz w:val="16"/>
                <w:szCs w:val="16"/>
                <w:lang w:eastAsia="hr-HR"/>
              </w:rPr>
              <w:t>Indeks</w:t>
            </w:r>
          </w:p>
        </w:tc>
        <w:tc>
          <w:tcPr>
            <w:tcW w:w="1340" w:type="dxa"/>
            <w:tcBorders>
              <w:top w:val="single" w:sz="4" w:space="0" w:color="000080"/>
              <w:left w:val="nil"/>
              <w:bottom w:val="single" w:sz="4" w:space="0" w:color="000080"/>
              <w:right w:val="single" w:sz="4" w:space="0" w:color="000080"/>
            </w:tcBorders>
            <w:shd w:val="clear" w:color="000000" w:fill="DCE6F1"/>
            <w:vAlign w:val="center"/>
            <w:hideMark/>
          </w:tcPr>
          <w:p w:rsidR="003A0F12" w:rsidRPr="00FC3325" w:rsidRDefault="003A0F12" w:rsidP="00933C67">
            <w:pPr>
              <w:spacing w:after="0" w:line="240" w:lineRule="auto"/>
              <w:jc w:val="center"/>
              <w:rPr>
                <w:rFonts w:ascii="Arial" w:eastAsia="Times New Roman" w:hAnsi="Arial" w:cs="Arial"/>
                <w:b/>
                <w:bCs/>
                <w:sz w:val="16"/>
                <w:szCs w:val="16"/>
                <w:lang w:eastAsia="hr-HR"/>
              </w:rPr>
            </w:pPr>
            <w:r w:rsidRPr="00FC3325">
              <w:rPr>
                <w:rFonts w:ascii="Arial" w:eastAsia="Times New Roman" w:hAnsi="Arial" w:cs="Arial"/>
                <w:b/>
                <w:bCs/>
                <w:sz w:val="16"/>
                <w:szCs w:val="16"/>
                <w:lang w:eastAsia="hr-HR"/>
              </w:rPr>
              <w:t>Tekući plan</w:t>
            </w:r>
            <w:r w:rsidRPr="00FC3325">
              <w:rPr>
                <w:rFonts w:ascii="Arial" w:eastAsia="Times New Roman" w:hAnsi="Arial" w:cs="Arial"/>
                <w:b/>
                <w:bCs/>
                <w:sz w:val="16"/>
                <w:szCs w:val="16"/>
                <w:lang w:eastAsia="hr-HR"/>
              </w:rPr>
              <w:br/>
              <w:t>2015.</w:t>
            </w:r>
          </w:p>
        </w:tc>
        <w:tc>
          <w:tcPr>
            <w:tcW w:w="699" w:type="dxa"/>
            <w:tcBorders>
              <w:top w:val="single" w:sz="4" w:space="0" w:color="000080"/>
              <w:left w:val="nil"/>
              <w:bottom w:val="single" w:sz="4" w:space="0" w:color="000080"/>
              <w:right w:val="single" w:sz="4" w:space="0" w:color="000080"/>
            </w:tcBorders>
            <w:shd w:val="clear" w:color="000000" w:fill="DCE6F1"/>
            <w:vAlign w:val="center"/>
            <w:hideMark/>
          </w:tcPr>
          <w:p w:rsidR="003A0F12" w:rsidRPr="00FC3325" w:rsidRDefault="003A0F12" w:rsidP="00933C67">
            <w:pPr>
              <w:spacing w:after="0" w:line="240" w:lineRule="auto"/>
              <w:jc w:val="center"/>
              <w:rPr>
                <w:rFonts w:ascii="Arial" w:eastAsia="Times New Roman" w:hAnsi="Arial" w:cs="Arial"/>
                <w:b/>
                <w:bCs/>
                <w:sz w:val="16"/>
                <w:szCs w:val="16"/>
                <w:lang w:eastAsia="hr-HR"/>
              </w:rPr>
            </w:pPr>
            <w:r w:rsidRPr="00FC3325">
              <w:rPr>
                <w:rFonts w:ascii="Arial" w:eastAsia="Times New Roman" w:hAnsi="Arial" w:cs="Arial"/>
                <w:b/>
                <w:bCs/>
                <w:sz w:val="16"/>
                <w:szCs w:val="16"/>
                <w:lang w:eastAsia="hr-HR"/>
              </w:rPr>
              <w:t>Indeks</w:t>
            </w:r>
          </w:p>
        </w:tc>
      </w:tr>
      <w:tr w:rsidR="003A0F12" w:rsidRPr="00FC3325" w:rsidTr="00933C67">
        <w:trPr>
          <w:trHeight w:val="450"/>
        </w:trPr>
        <w:tc>
          <w:tcPr>
            <w:tcW w:w="1300" w:type="dxa"/>
            <w:tcBorders>
              <w:top w:val="nil"/>
              <w:left w:val="single" w:sz="4" w:space="0" w:color="000080"/>
              <w:bottom w:val="single" w:sz="4" w:space="0" w:color="000080"/>
              <w:right w:val="single" w:sz="4" w:space="0" w:color="000080"/>
            </w:tcBorders>
            <w:shd w:val="clear" w:color="000000" w:fill="DCE6F1"/>
            <w:noWrap/>
            <w:vAlign w:val="center"/>
            <w:hideMark/>
          </w:tcPr>
          <w:p w:rsidR="003A0F12" w:rsidRPr="00FC3325" w:rsidRDefault="003A0F12" w:rsidP="00FC3325">
            <w:pPr>
              <w:spacing w:after="0" w:line="240" w:lineRule="auto"/>
              <w:ind w:firstLineChars="200" w:firstLine="321"/>
              <w:rPr>
                <w:rFonts w:ascii="Arial" w:eastAsia="Times New Roman" w:hAnsi="Arial" w:cs="Arial"/>
                <w:b/>
                <w:bCs/>
                <w:sz w:val="16"/>
                <w:szCs w:val="16"/>
                <w:lang w:eastAsia="hr-HR"/>
              </w:rPr>
            </w:pPr>
            <w:r w:rsidRPr="00FC3325">
              <w:rPr>
                <w:rFonts w:ascii="Arial" w:eastAsia="Times New Roman" w:hAnsi="Arial" w:cs="Arial"/>
                <w:b/>
                <w:bCs/>
                <w:sz w:val="16"/>
                <w:szCs w:val="16"/>
                <w:lang w:eastAsia="hr-HR"/>
              </w:rPr>
              <w:t>- 322</w:t>
            </w:r>
          </w:p>
        </w:tc>
        <w:tc>
          <w:tcPr>
            <w:tcW w:w="2420" w:type="dxa"/>
            <w:tcBorders>
              <w:top w:val="nil"/>
              <w:left w:val="nil"/>
              <w:bottom w:val="single" w:sz="4" w:space="0" w:color="000080"/>
              <w:right w:val="single" w:sz="4" w:space="0" w:color="000080"/>
            </w:tcBorders>
            <w:shd w:val="clear" w:color="000000" w:fill="DCE6F1"/>
            <w:vAlign w:val="center"/>
            <w:hideMark/>
          </w:tcPr>
          <w:p w:rsidR="003A0F12" w:rsidRPr="00FC3325" w:rsidRDefault="003A0F12" w:rsidP="00FC3325">
            <w:pPr>
              <w:spacing w:after="0" w:line="240" w:lineRule="auto"/>
              <w:ind w:firstLineChars="100" w:firstLine="161"/>
              <w:rPr>
                <w:rFonts w:ascii="Arial" w:eastAsia="Times New Roman" w:hAnsi="Arial" w:cs="Arial"/>
                <w:b/>
                <w:bCs/>
                <w:sz w:val="16"/>
                <w:szCs w:val="16"/>
                <w:lang w:eastAsia="hr-HR"/>
              </w:rPr>
            </w:pPr>
            <w:r w:rsidRPr="00FC3325">
              <w:rPr>
                <w:rFonts w:ascii="Arial" w:eastAsia="Times New Roman" w:hAnsi="Arial" w:cs="Arial"/>
                <w:b/>
                <w:bCs/>
                <w:sz w:val="16"/>
                <w:szCs w:val="16"/>
                <w:lang w:eastAsia="hr-HR"/>
              </w:rPr>
              <w:t>Rashodi za materijal i energiju</w:t>
            </w:r>
          </w:p>
        </w:tc>
        <w:tc>
          <w:tcPr>
            <w:tcW w:w="1362" w:type="dxa"/>
            <w:tcBorders>
              <w:top w:val="nil"/>
              <w:left w:val="nil"/>
              <w:bottom w:val="single" w:sz="4" w:space="0" w:color="000080"/>
              <w:right w:val="single" w:sz="4" w:space="0" w:color="000080"/>
            </w:tcBorders>
            <w:shd w:val="clear" w:color="000000" w:fill="DCE6F1"/>
            <w:noWrap/>
            <w:vAlign w:val="center"/>
            <w:hideMark/>
          </w:tcPr>
          <w:p w:rsidR="003A0F12" w:rsidRPr="00FC3325" w:rsidRDefault="003A0F12" w:rsidP="003A0F12">
            <w:pPr>
              <w:spacing w:after="0" w:line="240" w:lineRule="auto"/>
              <w:jc w:val="right"/>
              <w:rPr>
                <w:rFonts w:ascii="Arial" w:eastAsia="Times New Roman" w:hAnsi="Arial" w:cs="Arial"/>
                <w:b/>
                <w:bCs/>
                <w:color w:val="000000"/>
                <w:sz w:val="16"/>
                <w:szCs w:val="16"/>
                <w:lang w:eastAsia="hr-HR"/>
              </w:rPr>
            </w:pPr>
            <w:r w:rsidRPr="00FC3325">
              <w:rPr>
                <w:rFonts w:ascii="Arial" w:eastAsia="Times New Roman" w:hAnsi="Arial" w:cs="Arial"/>
                <w:b/>
                <w:bCs/>
                <w:color w:val="000000"/>
                <w:sz w:val="16"/>
                <w:szCs w:val="16"/>
                <w:lang w:eastAsia="hr-HR"/>
              </w:rPr>
              <w:t>1.780,146</w:t>
            </w:r>
          </w:p>
        </w:tc>
        <w:tc>
          <w:tcPr>
            <w:tcW w:w="1362" w:type="dxa"/>
            <w:tcBorders>
              <w:top w:val="nil"/>
              <w:left w:val="nil"/>
              <w:bottom w:val="single" w:sz="4" w:space="0" w:color="000080"/>
              <w:right w:val="single" w:sz="4" w:space="0" w:color="000080"/>
            </w:tcBorders>
            <w:shd w:val="clear" w:color="000000" w:fill="DCE6F1"/>
            <w:noWrap/>
            <w:vAlign w:val="center"/>
            <w:hideMark/>
          </w:tcPr>
          <w:p w:rsidR="003A0F12" w:rsidRPr="00FC3325" w:rsidRDefault="003A0F12" w:rsidP="003A0F12">
            <w:pPr>
              <w:spacing w:after="0" w:line="240" w:lineRule="auto"/>
              <w:jc w:val="right"/>
              <w:rPr>
                <w:rFonts w:ascii="Arial" w:eastAsia="Times New Roman" w:hAnsi="Arial" w:cs="Arial"/>
                <w:b/>
                <w:bCs/>
                <w:color w:val="000000"/>
                <w:sz w:val="16"/>
                <w:szCs w:val="16"/>
                <w:lang w:eastAsia="hr-HR"/>
              </w:rPr>
            </w:pPr>
            <w:r w:rsidRPr="00FC3325">
              <w:rPr>
                <w:rFonts w:ascii="Arial" w:eastAsia="Times New Roman" w:hAnsi="Arial" w:cs="Arial"/>
                <w:b/>
                <w:bCs/>
                <w:color w:val="000000"/>
                <w:sz w:val="16"/>
                <w:szCs w:val="16"/>
                <w:lang w:eastAsia="hr-HR"/>
              </w:rPr>
              <w:t>1.667,731</w:t>
            </w:r>
          </w:p>
        </w:tc>
        <w:tc>
          <w:tcPr>
            <w:tcW w:w="657" w:type="dxa"/>
            <w:tcBorders>
              <w:top w:val="nil"/>
              <w:left w:val="nil"/>
              <w:bottom w:val="single" w:sz="4" w:space="0" w:color="000080"/>
              <w:right w:val="single" w:sz="4" w:space="0" w:color="000080"/>
            </w:tcBorders>
            <w:shd w:val="clear" w:color="000000" w:fill="DCE6F1"/>
            <w:noWrap/>
            <w:vAlign w:val="center"/>
            <w:hideMark/>
          </w:tcPr>
          <w:p w:rsidR="003A0F12" w:rsidRPr="00FC3325" w:rsidRDefault="003A0F12" w:rsidP="003A0F12">
            <w:pPr>
              <w:spacing w:after="0" w:line="240" w:lineRule="auto"/>
              <w:jc w:val="right"/>
              <w:rPr>
                <w:rFonts w:ascii="Arial" w:eastAsia="Times New Roman" w:hAnsi="Arial" w:cs="Arial"/>
                <w:b/>
                <w:bCs/>
                <w:sz w:val="16"/>
                <w:szCs w:val="16"/>
                <w:lang w:eastAsia="hr-HR"/>
              </w:rPr>
            </w:pPr>
            <w:r w:rsidRPr="00FC3325">
              <w:rPr>
                <w:rFonts w:ascii="Arial" w:eastAsia="Times New Roman" w:hAnsi="Arial" w:cs="Arial"/>
                <w:b/>
                <w:bCs/>
                <w:sz w:val="16"/>
                <w:szCs w:val="16"/>
                <w:lang w:eastAsia="hr-HR"/>
              </w:rPr>
              <w:t>93,7</w:t>
            </w:r>
          </w:p>
        </w:tc>
        <w:tc>
          <w:tcPr>
            <w:tcW w:w="1340" w:type="dxa"/>
            <w:tcBorders>
              <w:top w:val="nil"/>
              <w:left w:val="nil"/>
              <w:bottom w:val="single" w:sz="4" w:space="0" w:color="000080"/>
              <w:right w:val="single" w:sz="4" w:space="0" w:color="000080"/>
            </w:tcBorders>
            <w:shd w:val="clear" w:color="000000" w:fill="DCE6F1"/>
            <w:noWrap/>
            <w:vAlign w:val="center"/>
            <w:hideMark/>
          </w:tcPr>
          <w:p w:rsidR="003A0F12" w:rsidRPr="00FC3325" w:rsidRDefault="003A0F12" w:rsidP="003A0F12">
            <w:pPr>
              <w:spacing w:after="0" w:line="240" w:lineRule="auto"/>
              <w:jc w:val="right"/>
              <w:rPr>
                <w:rFonts w:ascii="Arial" w:eastAsia="Times New Roman" w:hAnsi="Arial" w:cs="Arial"/>
                <w:b/>
                <w:bCs/>
                <w:color w:val="000000"/>
                <w:sz w:val="16"/>
                <w:szCs w:val="16"/>
                <w:lang w:eastAsia="hr-HR"/>
              </w:rPr>
            </w:pPr>
            <w:r w:rsidRPr="00FC3325">
              <w:rPr>
                <w:rFonts w:ascii="Arial" w:eastAsia="Times New Roman" w:hAnsi="Arial" w:cs="Arial"/>
                <w:b/>
                <w:bCs/>
                <w:color w:val="000000"/>
                <w:sz w:val="16"/>
                <w:szCs w:val="16"/>
                <w:lang w:eastAsia="hr-HR"/>
              </w:rPr>
              <w:t>2.540,934</w:t>
            </w:r>
          </w:p>
        </w:tc>
        <w:tc>
          <w:tcPr>
            <w:tcW w:w="699" w:type="dxa"/>
            <w:tcBorders>
              <w:top w:val="nil"/>
              <w:left w:val="nil"/>
              <w:bottom w:val="single" w:sz="4" w:space="0" w:color="000080"/>
              <w:right w:val="single" w:sz="4" w:space="0" w:color="000080"/>
            </w:tcBorders>
            <w:shd w:val="clear" w:color="000000" w:fill="DCE6F1"/>
            <w:noWrap/>
            <w:vAlign w:val="center"/>
            <w:hideMark/>
          </w:tcPr>
          <w:p w:rsidR="003A0F12" w:rsidRPr="00FC3325" w:rsidRDefault="003A0F12" w:rsidP="003A0F12">
            <w:pPr>
              <w:spacing w:after="0" w:line="240" w:lineRule="auto"/>
              <w:jc w:val="right"/>
              <w:rPr>
                <w:rFonts w:ascii="Arial" w:eastAsia="Times New Roman" w:hAnsi="Arial" w:cs="Arial"/>
                <w:b/>
                <w:bCs/>
                <w:sz w:val="16"/>
                <w:szCs w:val="16"/>
                <w:lang w:eastAsia="hr-HR"/>
              </w:rPr>
            </w:pPr>
            <w:r w:rsidRPr="00FC3325">
              <w:rPr>
                <w:rFonts w:ascii="Arial" w:eastAsia="Times New Roman" w:hAnsi="Arial" w:cs="Arial"/>
                <w:b/>
                <w:bCs/>
                <w:sz w:val="16"/>
                <w:szCs w:val="16"/>
                <w:lang w:eastAsia="hr-HR"/>
              </w:rPr>
              <w:t>152,4</w:t>
            </w:r>
          </w:p>
        </w:tc>
      </w:tr>
      <w:tr w:rsidR="003A0F12" w:rsidRPr="00FC3325" w:rsidTr="00933C67">
        <w:trPr>
          <w:trHeight w:val="300"/>
        </w:trPr>
        <w:tc>
          <w:tcPr>
            <w:tcW w:w="1300" w:type="dxa"/>
            <w:tcBorders>
              <w:top w:val="nil"/>
              <w:left w:val="single" w:sz="4" w:space="0" w:color="000080"/>
              <w:bottom w:val="single" w:sz="4" w:space="0" w:color="000080"/>
              <w:right w:val="single" w:sz="4" w:space="0" w:color="000080"/>
            </w:tcBorders>
            <w:shd w:val="clear" w:color="auto" w:fill="auto"/>
            <w:noWrap/>
            <w:vAlign w:val="center"/>
            <w:hideMark/>
          </w:tcPr>
          <w:p w:rsidR="003A0F12" w:rsidRPr="00FC3325" w:rsidRDefault="003A0F12" w:rsidP="00FC3325">
            <w:pPr>
              <w:spacing w:after="0" w:line="240" w:lineRule="auto"/>
              <w:ind w:firstLineChars="200" w:firstLine="320"/>
              <w:rPr>
                <w:rFonts w:ascii="Arial" w:eastAsia="Times New Roman" w:hAnsi="Arial" w:cs="Arial"/>
                <w:sz w:val="16"/>
                <w:szCs w:val="16"/>
                <w:lang w:eastAsia="hr-HR"/>
              </w:rPr>
            </w:pPr>
            <w:r w:rsidRPr="00FC3325">
              <w:rPr>
                <w:rFonts w:ascii="Arial" w:eastAsia="Times New Roman" w:hAnsi="Arial" w:cs="Arial"/>
                <w:sz w:val="16"/>
                <w:szCs w:val="16"/>
                <w:lang w:eastAsia="hr-HR"/>
              </w:rPr>
              <w:t>- 1+2+8</w:t>
            </w:r>
          </w:p>
        </w:tc>
        <w:tc>
          <w:tcPr>
            <w:tcW w:w="2420" w:type="dxa"/>
            <w:tcBorders>
              <w:top w:val="nil"/>
              <w:left w:val="nil"/>
              <w:bottom w:val="single" w:sz="4" w:space="0" w:color="000080"/>
              <w:right w:val="single" w:sz="4" w:space="0" w:color="000080"/>
            </w:tcBorders>
            <w:shd w:val="clear" w:color="auto" w:fill="auto"/>
            <w:vAlign w:val="center"/>
            <w:hideMark/>
          </w:tcPr>
          <w:p w:rsidR="003A0F12" w:rsidRPr="00FC3325" w:rsidRDefault="003A0F12" w:rsidP="00FC3325">
            <w:pPr>
              <w:spacing w:after="0" w:line="240" w:lineRule="auto"/>
              <w:ind w:firstLineChars="100" w:firstLine="160"/>
              <w:rPr>
                <w:rFonts w:ascii="Arial" w:eastAsia="Times New Roman" w:hAnsi="Arial" w:cs="Arial"/>
                <w:sz w:val="16"/>
                <w:szCs w:val="16"/>
                <w:lang w:eastAsia="hr-HR"/>
              </w:rPr>
            </w:pPr>
            <w:r w:rsidRPr="00FC3325">
              <w:rPr>
                <w:rFonts w:ascii="Arial" w:eastAsia="Times New Roman" w:hAnsi="Arial" w:cs="Arial"/>
                <w:sz w:val="16"/>
                <w:szCs w:val="16"/>
                <w:lang w:eastAsia="hr-HR"/>
              </w:rPr>
              <w:t>Rashodi za materijal i energiju</w:t>
            </w:r>
          </w:p>
        </w:tc>
        <w:tc>
          <w:tcPr>
            <w:tcW w:w="1362" w:type="dxa"/>
            <w:tcBorders>
              <w:top w:val="nil"/>
              <w:left w:val="nil"/>
              <w:bottom w:val="single" w:sz="4" w:space="0" w:color="000080"/>
              <w:right w:val="single" w:sz="4" w:space="0" w:color="000080"/>
            </w:tcBorders>
            <w:shd w:val="clear" w:color="auto" w:fill="auto"/>
            <w:noWrap/>
            <w:vAlign w:val="center"/>
            <w:hideMark/>
          </w:tcPr>
          <w:p w:rsidR="003A0F12" w:rsidRPr="00FC3325" w:rsidRDefault="003A0F12" w:rsidP="003A0F12">
            <w:pPr>
              <w:spacing w:after="0" w:line="240" w:lineRule="auto"/>
              <w:jc w:val="right"/>
              <w:rPr>
                <w:rFonts w:ascii="Arial" w:eastAsia="Times New Roman" w:hAnsi="Arial" w:cs="Arial"/>
                <w:color w:val="000000"/>
                <w:sz w:val="16"/>
                <w:szCs w:val="16"/>
                <w:lang w:eastAsia="hr-HR"/>
              </w:rPr>
            </w:pPr>
            <w:r w:rsidRPr="00FC3325">
              <w:rPr>
                <w:rFonts w:ascii="Arial" w:eastAsia="Times New Roman" w:hAnsi="Arial" w:cs="Arial"/>
                <w:color w:val="000000"/>
                <w:sz w:val="16"/>
                <w:szCs w:val="16"/>
                <w:lang w:eastAsia="hr-HR"/>
              </w:rPr>
              <w:t>1.673,541</w:t>
            </w:r>
          </w:p>
        </w:tc>
        <w:tc>
          <w:tcPr>
            <w:tcW w:w="1362" w:type="dxa"/>
            <w:tcBorders>
              <w:top w:val="nil"/>
              <w:left w:val="nil"/>
              <w:bottom w:val="single" w:sz="4" w:space="0" w:color="000080"/>
              <w:right w:val="single" w:sz="4" w:space="0" w:color="000080"/>
            </w:tcBorders>
            <w:shd w:val="clear" w:color="auto" w:fill="auto"/>
            <w:noWrap/>
            <w:vAlign w:val="center"/>
            <w:hideMark/>
          </w:tcPr>
          <w:p w:rsidR="003A0F12" w:rsidRPr="00FC3325" w:rsidRDefault="003A0F12" w:rsidP="003A0F12">
            <w:pPr>
              <w:spacing w:after="0" w:line="240" w:lineRule="auto"/>
              <w:jc w:val="right"/>
              <w:rPr>
                <w:rFonts w:ascii="Arial" w:eastAsia="Times New Roman" w:hAnsi="Arial" w:cs="Arial"/>
                <w:color w:val="000000"/>
                <w:sz w:val="16"/>
                <w:szCs w:val="16"/>
                <w:lang w:eastAsia="hr-HR"/>
              </w:rPr>
            </w:pPr>
            <w:r w:rsidRPr="00FC3325">
              <w:rPr>
                <w:rFonts w:ascii="Arial" w:eastAsia="Times New Roman" w:hAnsi="Arial" w:cs="Arial"/>
                <w:color w:val="000000"/>
                <w:sz w:val="16"/>
                <w:szCs w:val="16"/>
                <w:lang w:eastAsia="hr-HR"/>
              </w:rPr>
              <w:t>1.501,986</w:t>
            </w:r>
          </w:p>
        </w:tc>
        <w:tc>
          <w:tcPr>
            <w:tcW w:w="657" w:type="dxa"/>
            <w:tcBorders>
              <w:top w:val="nil"/>
              <w:left w:val="nil"/>
              <w:bottom w:val="single" w:sz="4" w:space="0" w:color="000080"/>
              <w:right w:val="single" w:sz="4" w:space="0" w:color="000080"/>
            </w:tcBorders>
            <w:shd w:val="clear" w:color="auto" w:fill="auto"/>
            <w:noWrap/>
            <w:vAlign w:val="center"/>
            <w:hideMark/>
          </w:tcPr>
          <w:p w:rsidR="003A0F12" w:rsidRPr="00FC3325" w:rsidRDefault="003A0F12" w:rsidP="003A0F12">
            <w:pPr>
              <w:spacing w:after="0" w:line="240" w:lineRule="auto"/>
              <w:jc w:val="right"/>
              <w:rPr>
                <w:rFonts w:ascii="Arial" w:eastAsia="Times New Roman" w:hAnsi="Arial" w:cs="Arial"/>
                <w:sz w:val="16"/>
                <w:szCs w:val="16"/>
                <w:lang w:eastAsia="hr-HR"/>
              </w:rPr>
            </w:pPr>
            <w:r w:rsidRPr="00FC3325">
              <w:rPr>
                <w:rFonts w:ascii="Arial" w:eastAsia="Times New Roman" w:hAnsi="Arial" w:cs="Arial"/>
                <w:sz w:val="16"/>
                <w:szCs w:val="16"/>
                <w:lang w:eastAsia="hr-HR"/>
              </w:rPr>
              <w:t>89,7</w:t>
            </w:r>
          </w:p>
        </w:tc>
        <w:tc>
          <w:tcPr>
            <w:tcW w:w="1340" w:type="dxa"/>
            <w:tcBorders>
              <w:top w:val="nil"/>
              <w:left w:val="nil"/>
              <w:bottom w:val="single" w:sz="4" w:space="0" w:color="000080"/>
              <w:right w:val="single" w:sz="4" w:space="0" w:color="000080"/>
            </w:tcBorders>
            <w:shd w:val="clear" w:color="auto" w:fill="auto"/>
            <w:noWrap/>
            <w:vAlign w:val="center"/>
            <w:hideMark/>
          </w:tcPr>
          <w:p w:rsidR="003A0F12" w:rsidRPr="00FC3325" w:rsidRDefault="003A0F12" w:rsidP="003A0F12">
            <w:pPr>
              <w:spacing w:after="0" w:line="240" w:lineRule="auto"/>
              <w:jc w:val="right"/>
              <w:rPr>
                <w:rFonts w:ascii="Arial" w:eastAsia="Times New Roman" w:hAnsi="Arial" w:cs="Arial"/>
                <w:color w:val="000000"/>
                <w:sz w:val="16"/>
                <w:szCs w:val="16"/>
                <w:lang w:eastAsia="hr-HR"/>
              </w:rPr>
            </w:pPr>
            <w:r w:rsidRPr="00FC3325">
              <w:rPr>
                <w:rFonts w:ascii="Arial" w:eastAsia="Times New Roman" w:hAnsi="Arial" w:cs="Arial"/>
                <w:color w:val="000000"/>
                <w:sz w:val="16"/>
                <w:szCs w:val="16"/>
                <w:lang w:eastAsia="hr-HR"/>
              </w:rPr>
              <w:t>1.200,993</w:t>
            </w:r>
          </w:p>
        </w:tc>
        <w:tc>
          <w:tcPr>
            <w:tcW w:w="699" w:type="dxa"/>
            <w:tcBorders>
              <w:top w:val="nil"/>
              <w:left w:val="nil"/>
              <w:bottom w:val="single" w:sz="4" w:space="0" w:color="000080"/>
              <w:right w:val="single" w:sz="4" w:space="0" w:color="000080"/>
            </w:tcBorders>
            <w:shd w:val="clear" w:color="auto" w:fill="auto"/>
            <w:noWrap/>
            <w:vAlign w:val="center"/>
            <w:hideMark/>
          </w:tcPr>
          <w:p w:rsidR="003A0F12" w:rsidRPr="00FC3325" w:rsidRDefault="003A0F12" w:rsidP="003A0F12">
            <w:pPr>
              <w:spacing w:after="0" w:line="240" w:lineRule="auto"/>
              <w:jc w:val="right"/>
              <w:rPr>
                <w:rFonts w:ascii="Arial" w:eastAsia="Times New Roman" w:hAnsi="Arial" w:cs="Arial"/>
                <w:sz w:val="16"/>
                <w:szCs w:val="16"/>
                <w:lang w:eastAsia="hr-HR"/>
              </w:rPr>
            </w:pPr>
            <w:r w:rsidRPr="00FC3325">
              <w:rPr>
                <w:rFonts w:ascii="Arial" w:eastAsia="Times New Roman" w:hAnsi="Arial" w:cs="Arial"/>
                <w:sz w:val="16"/>
                <w:szCs w:val="16"/>
                <w:lang w:eastAsia="hr-HR"/>
              </w:rPr>
              <w:t>80,0</w:t>
            </w:r>
          </w:p>
        </w:tc>
      </w:tr>
      <w:tr w:rsidR="003A0F12" w:rsidRPr="00FC3325" w:rsidTr="00933C67">
        <w:trPr>
          <w:trHeight w:val="300"/>
        </w:trPr>
        <w:tc>
          <w:tcPr>
            <w:tcW w:w="1300" w:type="dxa"/>
            <w:tcBorders>
              <w:top w:val="nil"/>
              <w:left w:val="single" w:sz="4" w:space="0" w:color="000080"/>
              <w:bottom w:val="single" w:sz="4" w:space="0" w:color="000080"/>
              <w:right w:val="single" w:sz="4" w:space="0" w:color="000080"/>
            </w:tcBorders>
            <w:shd w:val="clear" w:color="auto" w:fill="auto"/>
            <w:noWrap/>
            <w:vAlign w:val="center"/>
            <w:hideMark/>
          </w:tcPr>
          <w:p w:rsidR="003A0F12" w:rsidRPr="00FC3325" w:rsidRDefault="003A0F12" w:rsidP="00FC3325">
            <w:pPr>
              <w:spacing w:after="0" w:line="240" w:lineRule="auto"/>
              <w:ind w:firstLineChars="200" w:firstLine="320"/>
              <w:rPr>
                <w:rFonts w:ascii="Arial" w:eastAsia="Times New Roman" w:hAnsi="Arial" w:cs="Arial"/>
                <w:sz w:val="16"/>
                <w:szCs w:val="16"/>
                <w:lang w:eastAsia="hr-HR"/>
              </w:rPr>
            </w:pPr>
            <w:r w:rsidRPr="00FC3325">
              <w:rPr>
                <w:rFonts w:ascii="Arial" w:eastAsia="Times New Roman" w:hAnsi="Arial" w:cs="Arial"/>
                <w:sz w:val="16"/>
                <w:szCs w:val="16"/>
                <w:lang w:eastAsia="hr-HR"/>
              </w:rPr>
              <w:t>- ostali izvori</w:t>
            </w:r>
          </w:p>
        </w:tc>
        <w:tc>
          <w:tcPr>
            <w:tcW w:w="2420" w:type="dxa"/>
            <w:tcBorders>
              <w:top w:val="nil"/>
              <w:left w:val="nil"/>
              <w:bottom w:val="single" w:sz="4" w:space="0" w:color="000080"/>
              <w:right w:val="single" w:sz="4" w:space="0" w:color="000080"/>
            </w:tcBorders>
            <w:shd w:val="clear" w:color="auto" w:fill="auto"/>
            <w:vAlign w:val="center"/>
            <w:hideMark/>
          </w:tcPr>
          <w:p w:rsidR="003A0F12" w:rsidRPr="00FC3325" w:rsidRDefault="003A0F12" w:rsidP="00FC3325">
            <w:pPr>
              <w:spacing w:after="0" w:line="240" w:lineRule="auto"/>
              <w:ind w:firstLineChars="100" w:firstLine="160"/>
              <w:rPr>
                <w:rFonts w:ascii="Arial" w:eastAsia="Times New Roman" w:hAnsi="Arial" w:cs="Arial"/>
                <w:sz w:val="16"/>
                <w:szCs w:val="16"/>
                <w:lang w:eastAsia="hr-HR"/>
              </w:rPr>
            </w:pPr>
            <w:r w:rsidRPr="00FC3325">
              <w:rPr>
                <w:rFonts w:ascii="Arial" w:eastAsia="Times New Roman" w:hAnsi="Arial" w:cs="Arial"/>
                <w:sz w:val="16"/>
                <w:szCs w:val="16"/>
                <w:lang w:eastAsia="hr-HR"/>
              </w:rPr>
              <w:t>Rashodi za materijal i energiju</w:t>
            </w:r>
          </w:p>
        </w:tc>
        <w:tc>
          <w:tcPr>
            <w:tcW w:w="1362" w:type="dxa"/>
            <w:tcBorders>
              <w:top w:val="nil"/>
              <w:left w:val="nil"/>
              <w:bottom w:val="single" w:sz="4" w:space="0" w:color="000080"/>
              <w:right w:val="single" w:sz="4" w:space="0" w:color="000080"/>
            </w:tcBorders>
            <w:shd w:val="clear" w:color="auto" w:fill="auto"/>
            <w:noWrap/>
            <w:vAlign w:val="center"/>
            <w:hideMark/>
          </w:tcPr>
          <w:p w:rsidR="003A0F12" w:rsidRPr="00FC3325" w:rsidRDefault="003A0F12" w:rsidP="003A0F12">
            <w:pPr>
              <w:spacing w:after="0" w:line="240" w:lineRule="auto"/>
              <w:jc w:val="right"/>
              <w:rPr>
                <w:rFonts w:ascii="Arial" w:eastAsia="Times New Roman" w:hAnsi="Arial" w:cs="Arial"/>
                <w:color w:val="000000"/>
                <w:sz w:val="16"/>
                <w:szCs w:val="16"/>
                <w:lang w:eastAsia="hr-HR"/>
              </w:rPr>
            </w:pPr>
            <w:r w:rsidRPr="00FC3325">
              <w:rPr>
                <w:rFonts w:ascii="Arial" w:eastAsia="Times New Roman" w:hAnsi="Arial" w:cs="Arial"/>
                <w:color w:val="000000"/>
                <w:sz w:val="16"/>
                <w:szCs w:val="16"/>
                <w:lang w:eastAsia="hr-HR"/>
              </w:rPr>
              <w:t>106,605</w:t>
            </w:r>
          </w:p>
        </w:tc>
        <w:tc>
          <w:tcPr>
            <w:tcW w:w="1362" w:type="dxa"/>
            <w:tcBorders>
              <w:top w:val="nil"/>
              <w:left w:val="nil"/>
              <w:bottom w:val="single" w:sz="4" w:space="0" w:color="000080"/>
              <w:right w:val="single" w:sz="4" w:space="0" w:color="000080"/>
            </w:tcBorders>
            <w:shd w:val="clear" w:color="auto" w:fill="auto"/>
            <w:noWrap/>
            <w:vAlign w:val="center"/>
            <w:hideMark/>
          </w:tcPr>
          <w:p w:rsidR="003A0F12" w:rsidRPr="00FC3325" w:rsidRDefault="003A0F12" w:rsidP="003A0F12">
            <w:pPr>
              <w:spacing w:after="0" w:line="240" w:lineRule="auto"/>
              <w:jc w:val="right"/>
              <w:rPr>
                <w:rFonts w:ascii="Arial" w:eastAsia="Times New Roman" w:hAnsi="Arial" w:cs="Arial"/>
                <w:color w:val="000000"/>
                <w:sz w:val="16"/>
                <w:szCs w:val="16"/>
                <w:lang w:eastAsia="hr-HR"/>
              </w:rPr>
            </w:pPr>
            <w:r w:rsidRPr="00FC3325">
              <w:rPr>
                <w:rFonts w:ascii="Arial" w:eastAsia="Times New Roman" w:hAnsi="Arial" w:cs="Arial"/>
                <w:color w:val="000000"/>
                <w:sz w:val="16"/>
                <w:szCs w:val="16"/>
                <w:lang w:eastAsia="hr-HR"/>
              </w:rPr>
              <w:t>165,744</w:t>
            </w:r>
          </w:p>
        </w:tc>
        <w:tc>
          <w:tcPr>
            <w:tcW w:w="657" w:type="dxa"/>
            <w:tcBorders>
              <w:top w:val="nil"/>
              <w:left w:val="nil"/>
              <w:bottom w:val="single" w:sz="4" w:space="0" w:color="000080"/>
              <w:right w:val="single" w:sz="4" w:space="0" w:color="000080"/>
            </w:tcBorders>
            <w:shd w:val="clear" w:color="auto" w:fill="auto"/>
            <w:noWrap/>
            <w:vAlign w:val="center"/>
            <w:hideMark/>
          </w:tcPr>
          <w:p w:rsidR="003A0F12" w:rsidRPr="00FC3325" w:rsidRDefault="003A0F12" w:rsidP="003A0F12">
            <w:pPr>
              <w:spacing w:after="0" w:line="240" w:lineRule="auto"/>
              <w:jc w:val="right"/>
              <w:rPr>
                <w:rFonts w:ascii="Arial" w:eastAsia="Times New Roman" w:hAnsi="Arial" w:cs="Arial"/>
                <w:sz w:val="16"/>
                <w:szCs w:val="16"/>
                <w:lang w:eastAsia="hr-HR"/>
              </w:rPr>
            </w:pPr>
            <w:r w:rsidRPr="00FC3325">
              <w:rPr>
                <w:rFonts w:ascii="Arial" w:eastAsia="Times New Roman" w:hAnsi="Arial" w:cs="Arial"/>
                <w:sz w:val="16"/>
                <w:szCs w:val="16"/>
                <w:lang w:eastAsia="hr-HR"/>
              </w:rPr>
              <w:t>155,5</w:t>
            </w:r>
          </w:p>
        </w:tc>
        <w:tc>
          <w:tcPr>
            <w:tcW w:w="1340" w:type="dxa"/>
            <w:tcBorders>
              <w:top w:val="nil"/>
              <w:left w:val="nil"/>
              <w:bottom w:val="single" w:sz="4" w:space="0" w:color="000080"/>
              <w:right w:val="single" w:sz="4" w:space="0" w:color="000080"/>
            </w:tcBorders>
            <w:shd w:val="clear" w:color="auto" w:fill="auto"/>
            <w:noWrap/>
            <w:vAlign w:val="center"/>
            <w:hideMark/>
          </w:tcPr>
          <w:p w:rsidR="003A0F12" w:rsidRPr="00FC3325" w:rsidRDefault="003A0F12" w:rsidP="003A0F12">
            <w:pPr>
              <w:spacing w:after="0" w:line="240" w:lineRule="auto"/>
              <w:jc w:val="right"/>
              <w:rPr>
                <w:rFonts w:ascii="Arial" w:eastAsia="Times New Roman" w:hAnsi="Arial" w:cs="Arial"/>
                <w:color w:val="000000"/>
                <w:sz w:val="16"/>
                <w:szCs w:val="16"/>
                <w:lang w:eastAsia="hr-HR"/>
              </w:rPr>
            </w:pPr>
            <w:r w:rsidRPr="00FC3325">
              <w:rPr>
                <w:rFonts w:ascii="Arial" w:eastAsia="Times New Roman" w:hAnsi="Arial" w:cs="Arial"/>
                <w:color w:val="000000"/>
                <w:sz w:val="16"/>
                <w:szCs w:val="16"/>
                <w:lang w:eastAsia="hr-HR"/>
              </w:rPr>
              <w:t>1.339,941</w:t>
            </w:r>
          </w:p>
        </w:tc>
        <w:tc>
          <w:tcPr>
            <w:tcW w:w="699" w:type="dxa"/>
            <w:tcBorders>
              <w:top w:val="nil"/>
              <w:left w:val="nil"/>
              <w:bottom w:val="single" w:sz="4" w:space="0" w:color="000080"/>
              <w:right w:val="single" w:sz="4" w:space="0" w:color="000080"/>
            </w:tcBorders>
            <w:shd w:val="clear" w:color="auto" w:fill="auto"/>
            <w:noWrap/>
            <w:vAlign w:val="center"/>
            <w:hideMark/>
          </w:tcPr>
          <w:p w:rsidR="003A0F12" w:rsidRPr="00FC3325" w:rsidRDefault="003A0F12" w:rsidP="003A0F12">
            <w:pPr>
              <w:spacing w:after="0" w:line="240" w:lineRule="auto"/>
              <w:jc w:val="right"/>
              <w:rPr>
                <w:rFonts w:ascii="Arial" w:eastAsia="Times New Roman" w:hAnsi="Arial" w:cs="Arial"/>
                <w:sz w:val="16"/>
                <w:szCs w:val="16"/>
                <w:lang w:eastAsia="hr-HR"/>
              </w:rPr>
            </w:pPr>
            <w:r w:rsidRPr="00FC3325">
              <w:rPr>
                <w:rFonts w:ascii="Arial" w:eastAsia="Times New Roman" w:hAnsi="Arial" w:cs="Arial"/>
                <w:sz w:val="16"/>
                <w:szCs w:val="16"/>
                <w:lang w:eastAsia="hr-HR"/>
              </w:rPr>
              <w:t>808,4</w:t>
            </w:r>
          </w:p>
        </w:tc>
      </w:tr>
    </w:tbl>
    <w:p w:rsidR="00165BFE" w:rsidRPr="00FA7F54" w:rsidRDefault="00165BFE" w:rsidP="00C83540">
      <w:pPr>
        <w:spacing w:line="240" w:lineRule="auto"/>
        <w:rPr>
          <w:rFonts w:ascii="Times New Roman" w:hAnsi="Times New Roman" w:cs="Times New Roman"/>
        </w:rPr>
      </w:pPr>
    </w:p>
    <w:p w:rsidR="004A677B" w:rsidRPr="00FA7F54" w:rsidRDefault="00D5467D" w:rsidP="00700E5A">
      <w:pPr>
        <w:pStyle w:val="Naslov2"/>
        <w:rPr>
          <w:rFonts w:ascii="Times New Roman" w:hAnsi="Times New Roman" w:cs="Times New Roman"/>
          <w:color w:val="auto"/>
          <w:sz w:val="22"/>
          <w:szCs w:val="22"/>
        </w:rPr>
      </w:pPr>
      <w:bookmarkStart w:id="36" w:name="_Toc434411180"/>
      <w:bookmarkStart w:id="37" w:name="_Toc436402323"/>
      <w:r w:rsidRPr="00FA7F54">
        <w:rPr>
          <w:rFonts w:ascii="Times New Roman" w:hAnsi="Times New Roman" w:cs="Times New Roman"/>
          <w:color w:val="auto"/>
          <w:sz w:val="22"/>
          <w:szCs w:val="22"/>
        </w:rPr>
        <w:t>U</w:t>
      </w:r>
      <w:r w:rsidR="00B93BDD" w:rsidRPr="00FA7F54">
        <w:rPr>
          <w:rFonts w:ascii="Times New Roman" w:hAnsi="Times New Roman" w:cs="Times New Roman"/>
          <w:color w:val="auto"/>
          <w:sz w:val="22"/>
          <w:szCs w:val="22"/>
        </w:rPr>
        <w:t>REDSKI MATERIJAL I OSTALI MATERIJALNI RASHODI</w:t>
      </w:r>
      <w:r w:rsidR="0059453F" w:rsidRPr="00FA7F54">
        <w:rPr>
          <w:rFonts w:ascii="Times New Roman" w:hAnsi="Times New Roman" w:cs="Times New Roman"/>
          <w:color w:val="auto"/>
          <w:sz w:val="22"/>
          <w:szCs w:val="22"/>
        </w:rPr>
        <w:t xml:space="preserve"> (3221)</w:t>
      </w:r>
      <w:bookmarkEnd w:id="36"/>
      <w:bookmarkEnd w:id="37"/>
    </w:p>
    <w:p w:rsidR="00DF4289" w:rsidRPr="00FA7F54" w:rsidRDefault="00D057D2" w:rsidP="00951097">
      <w:pPr>
        <w:spacing w:line="240" w:lineRule="auto"/>
        <w:jc w:val="both"/>
        <w:rPr>
          <w:rFonts w:ascii="Times New Roman" w:hAnsi="Times New Roman" w:cs="Times New Roman"/>
        </w:rPr>
      </w:pPr>
      <w:r w:rsidRPr="00FA7F54">
        <w:rPr>
          <w:rFonts w:ascii="Times New Roman" w:hAnsi="Times New Roman" w:cs="Times New Roman"/>
        </w:rPr>
        <w:t xml:space="preserve">Prema iskazanim podacima u financijskim izvještajima rashodi za uredski materijal i ostale materijalne rashode u 2013. godini iznosili su </w:t>
      </w:r>
      <w:r w:rsidR="00E8667D" w:rsidRPr="00FA7F54">
        <w:rPr>
          <w:rFonts w:ascii="Times New Roman" w:hAnsi="Times New Roman" w:cs="Times New Roman"/>
        </w:rPr>
        <w:t>338,0</w:t>
      </w:r>
      <w:r w:rsidRPr="00FA7F54">
        <w:rPr>
          <w:rFonts w:ascii="Times New Roman" w:hAnsi="Times New Roman" w:cs="Times New Roman"/>
        </w:rPr>
        <w:t xml:space="preserve"> mil. kuna, a u 2014. godini </w:t>
      </w:r>
      <w:r w:rsidR="00E8667D" w:rsidRPr="00FA7F54">
        <w:rPr>
          <w:rFonts w:ascii="Times New Roman" w:hAnsi="Times New Roman" w:cs="Times New Roman"/>
        </w:rPr>
        <w:t>323</w:t>
      </w:r>
      <w:r w:rsidRPr="00FA7F54">
        <w:rPr>
          <w:rFonts w:ascii="Times New Roman" w:hAnsi="Times New Roman" w:cs="Times New Roman"/>
        </w:rPr>
        <w:t xml:space="preserve">,0 mil. kuna. </w:t>
      </w:r>
    </w:p>
    <w:p w:rsidR="00442983" w:rsidRDefault="00760651" w:rsidP="00442983">
      <w:pPr>
        <w:spacing w:line="240" w:lineRule="auto"/>
        <w:jc w:val="both"/>
        <w:rPr>
          <w:rFonts w:ascii="Times New Roman" w:hAnsi="Times New Roman" w:cs="Times New Roman"/>
        </w:rPr>
      </w:pPr>
      <w:r w:rsidRPr="00FA7F54">
        <w:rPr>
          <w:rFonts w:ascii="Times New Roman" w:hAnsi="Times New Roman" w:cs="Times New Roman"/>
        </w:rPr>
        <w:t>Analizom rashoda za uredski materijal i ostale materijalne rashode svih korisnika izraženi su prosječni mjesečni rashodi po zaposlenom iz čega proizlazi da je prosječni trošak iznosio 198 kun</w:t>
      </w:r>
      <w:r w:rsidR="00933C67">
        <w:rPr>
          <w:rFonts w:ascii="Times New Roman" w:hAnsi="Times New Roman" w:cs="Times New Roman"/>
        </w:rPr>
        <w:t>a</w:t>
      </w:r>
      <w:r w:rsidRPr="00FA7F54">
        <w:rPr>
          <w:rFonts w:ascii="Times New Roman" w:hAnsi="Times New Roman" w:cs="Times New Roman"/>
        </w:rPr>
        <w:t xml:space="preserve"> u 2013. godini, a 188 </w:t>
      </w:r>
      <w:r w:rsidR="00933C67" w:rsidRPr="00FA7F54">
        <w:rPr>
          <w:rFonts w:ascii="Times New Roman" w:hAnsi="Times New Roman" w:cs="Times New Roman"/>
        </w:rPr>
        <w:t>kun</w:t>
      </w:r>
      <w:r w:rsidR="00933C67">
        <w:rPr>
          <w:rFonts w:ascii="Times New Roman" w:hAnsi="Times New Roman" w:cs="Times New Roman"/>
        </w:rPr>
        <w:t>a</w:t>
      </w:r>
      <w:r w:rsidR="00933C67" w:rsidRPr="00FA7F54">
        <w:rPr>
          <w:rFonts w:ascii="Times New Roman" w:hAnsi="Times New Roman" w:cs="Times New Roman"/>
        </w:rPr>
        <w:t xml:space="preserve"> </w:t>
      </w:r>
      <w:r w:rsidRPr="00FA7F54">
        <w:rPr>
          <w:rFonts w:ascii="Times New Roman" w:hAnsi="Times New Roman" w:cs="Times New Roman"/>
        </w:rPr>
        <w:t xml:space="preserve">u 2014. godini. </w:t>
      </w:r>
      <w:r w:rsidR="008978A1" w:rsidRPr="00FA7F54">
        <w:rPr>
          <w:rFonts w:ascii="Times New Roman" w:hAnsi="Times New Roman" w:cs="Times New Roman"/>
        </w:rPr>
        <w:t xml:space="preserve">U 2014. godini </w:t>
      </w:r>
      <w:r w:rsidR="00CC7B4D">
        <w:rPr>
          <w:rFonts w:ascii="Times New Roman" w:hAnsi="Times New Roman" w:cs="Times New Roman"/>
        </w:rPr>
        <w:t>povećane</w:t>
      </w:r>
      <w:r w:rsidR="008978A1" w:rsidRPr="00FA7F54">
        <w:rPr>
          <w:rFonts w:ascii="Times New Roman" w:hAnsi="Times New Roman" w:cs="Times New Roman"/>
        </w:rPr>
        <w:t xml:space="preserve"> prosječne</w:t>
      </w:r>
      <w:r w:rsidR="00E13427">
        <w:rPr>
          <w:rFonts w:ascii="Times New Roman" w:hAnsi="Times New Roman" w:cs="Times New Roman"/>
        </w:rPr>
        <w:t xml:space="preserve"> mjesečne</w:t>
      </w:r>
      <w:r w:rsidR="008978A1" w:rsidRPr="00FA7F54">
        <w:rPr>
          <w:rFonts w:ascii="Times New Roman" w:hAnsi="Times New Roman" w:cs="Times New Roman"/>
        </w:rPr>
        <w:t xml:space="preserve"> troškove</w:t>
      </w:r>
      <w:r w:rsidR="00E13427">
        <w:rPr>
          <w:rFonts w:ascii="Times New Roman" w:hAnsi="Times New Roman" w:cs="Times New Roman"/>
        </w:rPr>
        <w:t xml:space="preserve"> po zaposlenom</w:t>
      </w:r>
      <w:r w:rsidR="008978A1" w:rsidRPr="00FA7F54">
        <w:rPr>
          <w:rFonts w:ascii="Times New Roman" w:hAnsi="Times New Roman" w:cs="Times New Roman"/>
        </w:rPr>
        <w:t xml:space="preserve"> imale su</w:t>
      </w:r>
      <w:r w:rsidR="00CC7B4D">
        <w:rPr>
          <w:rFonts w:ascii="Times New Roman" w:hAnsi="Times New Roman" w:cs="Times New Roman"/>
        </w:rPr>
        <w:t xml:space="preserve"> agencije,</w:t>
      </w:r>
      <w:r w:rsidR="008978A1" w:rsidRPr="00FA7F54">
        <w:rPr>
          <w:rFonts w:ascii="Times New Roman" w:hAnsi="Times New Roman" w:cs="Times New Roman"/>
        </w:rPr>
        <w:t xml:space="preserve"> ustanove u kulturi</w:t>
      </w:r>
      <w:r w:rsidR="00CC7B4D">
        <w:rPr>
          <w:rFonts w:ascii="Times New Roman" w:hAnsi="Times New Roman" w:cs="Times New Roman"/>
        </w:rPr>
        <w:t>, socijalnoj skrbi, tijela sudbene vlasti,</w:t>
      </w:r>
      <w:r w:rsidR="001A03B3">
        <w:rPr>
          <w:rFonts w:ascii="Times New Roman" w:hAnsi="Times New Roman" w:cs="Times New Roman"/>
        </w:rPr>
        <w:t xml:space="preserve"> Ured p</w:t>
      </w:r>
      <w:r w:rsidR="008978A1" w:rsidRPr="00FA7F54">
        <w:rPr>
          <w:rFonts w:ascii="Times New Roman" w:hAnsi="Times New Roman" w:cs="Times New Roman"/>
        </w:rPr>
        <w:t>redsjednika</w:t>
      </w:r>
      <w:r w:rsidR="0063068A" w:rsidRPr="00FA7F54">
        <w:rPr>
          <w:rFonts w:ascii="Times New Roman" w:hAnsi="Times New Roman" w:cs="Times New Roman"/>
        </w:rPr>
        <w:t>,</w:t>
      </w:r>
      <w:r w:rsidR="00CC7B4D">
        <w:rPr>
          <w:rFonts w:ascii="Times New Roman" w:hAnsi="Times New Roman" w:cs="Times New Roman"/>
        </w:rPr>
        <w:t xml:space="preserve"> uredi državne uprave, a čiji se troškovi većim dijelom podmiruju iz državnog proračuna.</w:t>
      </w:r>
    </w:p>
    <w:p w:rsidR="00760651" w:rsidRDefault="00442983" w:rsidP="00760651">
      <w:pPr>
        <w:spacing w:line="240" w:lineRule="auto"/>
        <w:jc w:val="both"/>
        <w:rPr>
          <w:rFonts w:ascii="Times New Roman" w:hAnsi="Times New Roman" w:cs="Times New Roman"/>
        </w:rPr>
      </w:pPr>
      <w:r w:rsidRPr="00FA7F54">
        <w:rPr>
          <w:rFonts w:ascii="Times New Roman" w:hAnsi="Times New Roman" w:cs="Times New Roman"/>
        </w:rPr>
        <w:t>U 2015. godini planirano je 262,6 mil.</w:t>
      </w:r>
      <w:r w:rsidR="00933C67">
        <w:rPr>
          <w:rFonts w:ascii="Times New Roman" w:hAnsi="Times New Roman" w:cs="Times New Roman"/>
        </w:rPr>
        <w:t xml:space="preserve"> kuna</w:t>
      </w:r>
      <w:r w:rsidRPr="00FA7F54">
        <w:rPr>
          <w:rFonts w:ascii="Times New Roman" w:hAnsi="Times New Roman" w:cs="Times New Roman"/>
        </w:rPr>
        <w:t xml:space="preserve"> od čega</w:t>
      </w:r>
      <w:r w:rsidR="00E13427">
        <w:rPr>
          <w:rFonts w:ascii="Times New Roman" w:hAnsi="Times New Roman" w:cs="Times New Roman"/>
        </w:rPr>
        <w:t xml:space="preserve"> 174,8 mil.</w:t>
      </w:r>
      <w:r w:rsidR="00933C67">
        <w:rPr>
          <w:rFonts w:ascii="Times New Roman" w:hAnsi="Times New Roman" w:cs="Times New Roman"/>
        </w:rPr>
        <w:t xml:space="preserve"> kuna</w:t>
      </w:r>
      <w:r w:rsidR="00E13427">
        <w:rPr>
          <w:rFonts w:ascii="Times New Roman" w:hAnsi="Times New Roman" w:cs="Times New Roman"/>
        </w:rPr>
        <w:t xml:space="preserve"> iz izvora u limitu.</w:t>
      </w:r>
    </w:p>
    <w:p w:rsidR="00581FE5" w:rsidRDefault="00581FE5" w:rsidP="00760651">
      <w:pPr>
        <w:spacing w:line="240" w:lineRule="auto"/>
        <w:jc w:val="both"/>
        <w:rPr>
          <w:rFonts w:ascii="Times New Roman" w:hAnsi="Times New Roman" w:cs="Times New Roman"/>
        </w:rPr>
      </w:pPr>
    </w:p>
    <w:p w:rsidR="00581FE5" w:rsidRDefault="00581FE5" w:rsidP="00760651">
      <w:pPr>
        <w:spacing w:line="240" w:lineRule="auto"/>
        <w:jc w:val="both"/>
        <w:rPr>
          <w:rFonts w:ascii="Times New Roman" w:hAnsi="Times New Roman" w:cs="Times New Roman"/>
        </w:rPr>
      </w:pPr>
    </w:p>
    <w:p w:rsidR="00581FE5" w:rsidRDefault="00581FE5" w:rsidP="00760651">
      <w:pPr>
        <w:spacing w:line="240" w:lineRule="auto"/>
        <w:jc w:val="both"/>
        <w:rPr>
          <w:rFonts w:ascii="Times New Roman" w:hAnsi="Times New Roman" w:cs="Times New Roman"/>
        </w:rPr>
      </w:pPr>
    </w:p>
    <w:p w:rsidR="00581FE5" w:rsidRDefault="00581FE5" w:rsidP="00760651">
      <w:pPr>
        <w:spacing w:line="240" w:lineRule="auto"/>
        <w:jc w:val="both"/>
        <w:rPr>
          <w:rFonts w:ascii="Times New Roman" w:hAnsi="Times New Roman" w:cs="Times New Roman"/>
        </w:rPr>
      </w:pPr>
    </w:p>
    <w:p w:rsidR="00581FE5" w:rsidRDefault="00581FE5" w:rsidP="00760651">
      <w:pPr>
        <w:spacing w:line="240" w:lineRule="auto"/>
        <w:jc w:val="both"/>
        <w:rPr>
          <w:rFonts w:ascii="Times New Roman" w:hAnsi="Times New Roman" w:cs="Times New Roman"/>
        </w:rPr>
      </w:pPr>
    </w:p>
    <w:p w:rsidR="00581FE5" w:rsidRDefault="00581FE5" w:rsidP="00760651">
      <w:pPr>
        <w:spacing w:line="240" w:lineRule="auto"/>
        <w:jc w:val="both"/>
        <w:rPr>
          <w:rFonts w:ascii="Times New Roman" w:hAnsi="Times New Roman" w:cs="Times New Roman"/>
        </w:rPr>
      </w:pPr>
    </w:p>
    <w:p w:rsidR="00581FE5" w:rsidRPr="00FA7F54" w:rsidRDefault="00581FE5" w:rsidP="00760651">
      <w:pPr>
        <w:spacing w:line="240" w:lineRule="auto"/>
        <w:jc w:val="both"/>
        <w:rPr>
          <w:rFonts w:ascii="Times New Roman" w:hAnsi="Times New Roman" w:cs="Times New Roman"/>
        </w:rPr>
      </w:pPr>
    </w:p>
    <w:p w:rsidR="00760651" w:rsidRPr="00933C67" w:rsidRDefault="009835A2" w:rsidP="006B7B79">
      <w:pPr>
        <w:pStyle w:val="Opisslike"/>
        <w:spacing w:after="0"/>
        <w:jc w:val="both"/>
        <w:rPr>
          <w:rFonts w:ascii="Times New Roman" w:hAnsi="Times New Roman" w:cs="Times New Roman"/>
          <w:sz w:val="20"/>
          <w:szCs w:val="20"/>
        </w:rPr>
      </w:pPr>
      <w:bookmarkStart w:id="38" w:name="_Toc436402263"/>
      <w:r w:rsidRPr="006B7B79">
        <w:rPr>
          <w:rFonts w:ascii="Times New Roman" w:hAnsi="Times New Roman" w:cs="Times New Roman"/>
          <w:sz w:val="20"/>
          <w:szCs w:val="20"/>
        </w:rPr>
        <w:lastRenderedPageBreak/>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16</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 xml:space="preserve">: </w:t>
      </w:r>
      <w:r w:rsidR="001E2B41" w:rsidRPr="006B7B79">
        <w:rPr>
          <w:rFonts w:ascii="Times New Roman" w:hAnsi="Times New Roman" w:cs="Times New Roman"/>
          <w:sz w:val="20"/>
          <w:szCs w:val="20"/>
        </w:rPr>
        <w:t xml:space="preserve">Uredski materijal i ostali materijalni rashodi prema podacima iskazanim u financijskim izvještajima proračunskih i izvanproračunskih korisnika za 2013. i 2014. </w:t>
      </w:r>
      <w:r w:rsidR="00984E0D" w:rsidRPr="006B7B79">
        <w:rPr>
          <w:rFonts w:ascii="Times New Roman" w:hAnsi="Times New Roman" w:cs="Times New Roman"/>
          <w:sz w:val="20"/>
          <w:szCs w:val="20"/>
        </w:rPr>
        <w:t>g</w:t>
      </w:r>
      <w:r w:rsidR="001E2B41" w:rsidRPr="006B7B79">
        <w:rPr>
          <w:rFonts w:ascii="Times New Roman" w:hAnsi="Times New Roman" w:cs="Times New Roman"/>
          <w:sz w:val="20"/>
          <w:szCs w:val="20"/>
        </w:rPr>
        <w:t>odinu</w:t>
      </w:r>
      <w:r w:rsidR="00984E0D" w:rsidRPr="006B7B79">
        <w:rPr>
          <w:rFonts w:ascii="Times New Roman" w:hAnsi="Times New Roman" w:cs="Times New Roman"/>
          <w:sz w:val="20"/>
          <w:szCs w:val="20"/>
        </w:rPr>
        <w:t xml:space="preserve"> te planu Državnog proračuna za 2015. godinu</w:t>
      </w:r>
      <w:bookmarkEnd w:id="38"/>
    </w:p>
    <w:p w:rsidR="00DF4289" w:rsidRPr="00FA7F54" w:rsidRDefault="004C079C" w:rsidP="00D057D2">
      <w:pPr>
        <w:spacing w:line="240" w:lineRule="auto"/>
        <w:ind w:left="-426"/>
        <w:jc w:val="both"/>
        <w:rPr>
          <w:rFonts w:ascii="Times New Roman" w:hAnsi="Times New Roman" w:cs="Times New Roman"/>
        </w:rPr>
      </w:pPr>
      <w:r w:rsidRPr="00FA7F54">
        <w:rPr>
          <w:rFonts w:ascii="Times New Roman" w:hAnsi="Times New Roman" w:cs="Times New Roman"/>
        </w:rPr>
        <w:tab/>
      </w:r>
      <w:r w:rsidR="0023689D" w:rsidRPr="0023689D">
        <w:rPr>
          <w:noProof/>
          <w:lang w:eastAsia="hr-HR"/>
        </w:rPr>
        <w:drawing>
          <wp:inline distT="0" distB="0" distL="0" distR="0" wp14:anchorId="2BC91402" wp14:editId="5C115C1A">
            <wp:extent cx="5760720" cy="2262030"/>
            <wp:effectExtent l="0" t="0" r="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262030"/>
                    </a:xfrm>
                    <a:prstGeom prst="rect">
                      <a:avLst/>
                    </a:prstGeom>
                    <a:noFill/>
                    <a:ln>
                      <a:noFill/>
                    </a:ln>
                  </pic:spPr>
                </pic:pic>
              </a:graphicData>
            </a:graphic>
          </wp:inline>
        </w:drawing>
      </w:r>
    </w:p>
    <w:p w:rsidR="00BB7723" w:rsidRPr="00FA7F54" w:rsidRDefault="00BB7723" w:rsidP="00951097">
      <w:pPr>
        <w:spacing w:line="240" w:lineRule="auto"/>
        <w:jc w:val="both"/>
        <w:rPr>
          <w:rFonts w:ascii="Times New Roman" w:hAnsi="Times New Roman" w:cs="Times New Roman"/>
        </w:rPr>
      </w:pPr>
      <w:r w:rsidRPr="00FA7F54">
        <w:rPr>
          <w:rFonts w:ascii="Times New Roman" w:hAnsi="Times New Roman" w:cs="Times New Roman"/>
        </w:rPr>
        <w:t>U okviru ove skupine računa evidentirani su troškovi uredskog materijala, literature, arhivskog materijala, materijala i sredstava za čišćenje i održavanje, materijala za higijenske potrebe i njegu te ostali</w:t>
      </w:r>
      <w:r w:rsidR="00830A78">
        <w:rPr>
          <w:rFonts w:ascii="Times New Roman" w:hAnsi="Times New Roman" w:cs="Times New Roman"/>
        </w:rPr>
        <w:t>h</w:t>
      </w:r>
      <w:r w:rsidRPr="00FA7F54">
        <w:rPr>
          <w:rFonts w:ascii="Times New Roman" w:hAnsi="Times New Roman" w:cs="Times New Roman"/>
        </w:rPr>
        <w:t xml:space="preserve"> materijal</w:t>
      </w:r>
      <w:r w:rsidR="00830A78">
        <w:rPr>
          <w:rFonts w:ascii="Times New Roman" w:hAnsi="Times New Roman" w:cs="Times New Roman"/>
        </w:rPr>
        <w:t>a</w:t>
      </w:r>
      <w:r w:rsidRPr="00FA7F54">
        <w:rPr>
          <w:rFonts w:ascii="Times New Roman" w:hAnsi="Times New Roman" w:cs="Times New Roman"/>
        </w:rPr>
        <w:t xml:space="preserve"> za potrebe redovnog poslovanja.</w:t>
      </w:r>
    </w:p>
    <w:p w:rsidR="009835A2" w:rsidRPr="00933C67" w:rsidRDefault="009835A2" w:rsidP="006B7B79">
      <w:pPr>
        <w:pStyle w:val="Opisslike"/>
        <w:spacing w:after="0"/>
        <w:jc w:val="both"/>
        <w:rPr>
          <w:rFonts w:ascii="Times New Roman" w:hAnsi="Times New Roman" w:cs="Times New Roman"/>
          <w:sz w:val="20"/>
          <w:szCs w:val="20"/>
        </w:rPr>
      </w:pPr>
      <w:bookmarkStart w:id="39" w:name="_Toc436402264"/>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17</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 xml:space="preserve">: </w:t>
      </w:r>
      <w:r w:rsidR="00ED74DA" w:rsidRPr="006B7B79">
        <w:rPr>
          <w:rFonts w:ascii="Times New Roman" w:hAnsi="Times New Roman" w:cs="Times New Roman"/>
          <w:sz w:val="20"/>
          <w:szCs w:val="20"/>
        </w:rPr>
        <w:t>Uredski materijal i ostali materijalni rashodi</w:t>
      </w:r>
      <w:r w:rsidR="00F93F8E" w:rsidRPr="006B7B79">
        <w:rPr>
          <w:rFonts w:ascii="Times New Roman" w:hAnsi="Times New Roman" w:cs="Times New Roman"/>
          <w:sz w:val="20"/>
          <w:szCs w:val="20"/>
        </w:rPr>
        <w:t xml:space="preserve"> prema podacima iskazanim u državnom proračunu – izvršenje za 2014. (u mil.)</w:t>
      </w:r>
      <w:bookmarkEnd w:id="39"/>
    </w:p>
    <w:tbl>
      <w:tblPr>
        <w:tblW w:w="8320" w:type="dxa"/>
        <w:jc w:val="center"/>
        <w:tblLook w:val="04A0" w:firstRow="1" w:lastRow="0" w:firstColumn="1" w:lastColumn="0" w:noHBand="0" w:noVBand="1"/>
      </w:tblPr>
      <w:tblGrid>
        <w:gridCol w:w="1175"/>
        <w:gridCol w:w="1017"/>
        <w:gridCol w:w="965"/>
        <w:gridCol w:w="1061"/>
        <w:gridCol w:w="965"/>
        <w:gridCol w:w="1128"/>
        <w:gridCol w:w="1032"/>
        <w:gridCol w:w="1005"/>
      </w:tblGrid>
      <w:tr w:rsidR="00805181" w:rsidRPr="00BA5803" w:rsidTr="00933C67">
        <w:trPr>
          <w:trHeight w:val="900"/>
          <w:jc w:val="center"/>
        </w:trPr>
        <w:tc>
          <w:tcPr>
            <w:tcW w:w="1175"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805181" w:rsidRPr="00BA5803" w:rsidRDefault="00805181" w:rsidP="00933C67">
            <w:pPr>
              <w:spacing w:after="0" w:line="240" w:lineRule="auto"/>
              <w:jc w:val="center"/>
              <w:rPr>
                <w:rFonts w:ascii="Arial" w:eastAsia="Times New Roman" w:hAnsi="Arial" w:cs="Arial"/>
                <w:b/>
                <w:bCs/>
                <w:sz w:val="16"/>
                <w:szCs w:val="16"/>
                <w:lang w:eastAsia="hr-HR"/>
              </w:rPr>
            </w:pPr>
            <w:r w:rsidRPr="00BA5803">
              <w:rPr>
                <w:rFonts w:ascii="Arial" w:eastAsia="Times New Roman" w:hAnsi="Arial" w:cs="Arial"/>
                <w:b/>
                <w:bCs/>
                <w:sz w:val="16"/>
                <w:szCs w:val="16"/>
                <w:lang w:eastAsia="hr-HR"/>
              </w:rPr>
              <w:t>Izvršenje 2014.</w:t>
            </w:r>
          </w:p>
        </w:tc>
        <w:tc>
          <w:tcPr>
            <w:tcW w:w="999" w:type="dxa"/>
            <w:tcBorders>
              <w:top w:val="single" w:sz="4" w:space="0" w:color="000080"/>
              <w:left w:val="nil"/>
              <w:bottom w:val="single" w:sz="4" w:space="0" w:color="000080"/>
              <w:right w:val="single" w:sz="4" w:space="0" w:color="000080"/>
            </w:tcBorders>
            <w:shd w:val="clear" w:color="000000" w:fill="DCE6F1"/>
            <w:vAlign w:val="center"/>
            <w:hideMark/>
          </w:tcPr>
          <w:p w:rsidR="00805181" w:rsidRPr="00BA5803" w:rsidRDefault="00805181" w:rsidP="00933C67">
            <w:pPr>
              <w:spacing w:after="0" w:line="240" w:lineRule="auto"/>
              <w:jc w:val="center"/>
              <w:rPr>
                <w:rFonts w:ascii="Arial" w:eastAsia="Times New Roman" w:hAnsi="Arial" w:cs="Arial"/>
                <w:b/>
                <w:sz w:val="16"/>
                <w:szCs w:val="16"/>
                <w:lang w:eastAsia="hr-HR"/>
              </w:rPr>
            </w:pPr>
            <w:r w:rsidRPr="00BA5803">
              <w:rPr>
                <w:rFonts w:ascii="Arial" w:eastAsia="Times New Roman" w:hAnsi="Arial" w:cs="Arial"/>
                <w:b/>
                <w:sz w:val="16"/>
                <w:szCs w:val="16"/>
                <w:lang w:eastAsia="hr-HR"/>
              </w:rPr>
              <w:t>3221 Uredski materijal i ostali materijalni rashodi</w:t>
            </w:r>
          </w:p>
        </w:tc>
        <w:tc>
          <w:tcPr>
            <w:tcW w:w="965" w:type="dxa"/>
            <w:tcBorders>
              <w:top w:val="single" w:sz="4" w:space="0" w:color="000080"/>
              <w:left w:val="nil"/>
              <w:bottom w:val="single" w:sz="4" w:space="0" w:color="000080"/>
              <w:right w:val="single" w:sz="4" w:space="0" w:color="000080"/>
            </w:tcBorders>
            <w:shd w:val="clear" w:color="000000" w:fill="DCE6F1"/>
            <w:vAlign w:val="center"/>
            <w:hideMark/>
          </w:tcPr>
          <w:p w:rsidR="00805181" w:rsidRPr="00BA5803" w:rsidRDefault="00805181" w:rsidP="00933C67">
            <w:pPr>
              <w:spacing w:after="0" w:line="240" w:lineRule="auto"/>
              <w:jc w:val="center"/>
              <w:rPr>
                <w:rFonts w:ascii="Arial" w:eastAsia="Times New Roman" w:hAnsi="Arial" w:cs="Arial"/>
                <w:sz w:val="16"/>
                <w:szCs w:val="16"/>
                <w:lang w:eastAsia="hr-HR"/>
              </w:rPr>
            </w:pPr>
            <w:r w:rsidRPr="00BA5803">
              <w:rPr>
                <w:rFonts w:ascii="Arial" w:eastAsia="Times New Roman" w:hAnsi="Arial" w:cs="Arial"/>
                <w:sz w:val="16"/>
                <w:szCs w:val="16"/>
                <w:lang w:eastAsia="hr-HR"/>
              </w:rPr>
              <w:t>Uredski materijal</w:t>
            </w:r>
          </w:p>
        </w:tc>
        <w:tc>
          <w:tcPr>
            <w:tcW w:w="1051" w:type="dxa"/>
            <w:tcBorders>
              <w:top w:val="single" w:sz="4" w:space="0" w:color="000080"/>
              <w:left w:val="nil"/>
              <w:bottom w:val="single" w:sz="4" w:space="0" w:color="000080"/>
              <w:right w:val="single" w:sz="4" w:space="0" w:color="000080"/>
            </w:tcBorders>
            <w:shd w:val="clear" w:color="000000" w:fill="DCE6F1"/>
            <w:vAlign w:val="center"/>
            <w:hideMark/>
          </w:tcPr>
          <w:p w:rsidR="00805181" w:rsidRPr="00BA5803" w:rsidRDefault="00805181" w:rsidP="00933C67">
            <w:pPr>
              <w:spacing w:after="0" w:line="240" w:lineRule="auto"/>
              <w:jc w:val="center"/>
              <w:rPr>
                <w:rFonts w:ascii="Arial" w:eastAsia="Times New Roman" w:hAnsi="Arial" w:cs="Arial"/>
                <w:sz w:val="16"/>
                <w:szCs w:val="16"/>
                <w:lang w:eastAsia="hr-HR"/>
              </w:rPr>
            </w:pPr>
            <w:r w:rsidRPr="00BA5803">
              <w:rPr>
                <w:rFonts w:ascii="Arial" w:eastAsia="Times New Roman" w:hAnsi="Arial" w:cs="Arial"/>
                <w:sz w:val="16"/>
                <w:szCs w:val="16"/>
                <w:lang w:eastAsia="hr-HR"/>
              </w:rPr>
              <w:t>Literatura (publikacije, časopisi, glasila, knjige</w:t>
            </w:r>
          </w:p>
        </w:tc>
        <w:tc>
          <w:tcPr>
            <w:tcW w:w="965" w:type="dxa"/>
            <w:tcBorders>
              <w:top w:val="single" w:sz="4" w:space="0" w:color="000080"/>
              <w:left w:val="nil"/>
              <w:bottom w:val="single" w:sz="4" w:space="0" w:color="000080"/>
              <w:right w:val="single" w:sz="4" w:space="0" w:color="000080"/>
            </w:tcBorders>
            <w:shd w:val="clear" w:color="000000" w:fill="DCE6F1"/>
            <w:vAlign w:val="center"/>
            <w:hideMark/>
          </w:tcPr>
          <w:p w:rsidR="00805181" w:rsidRPr="00BA5803" w:rsidRDefault="00805181" w:rsidP="00933C67">
            <w:pPr>
              <w:spacing w:after="0" w:line="240" w:lineRule="auto"/>
              <w:jc w:val="center"/>
              <w:rPr>
                <w:rFonts w:ascii="Arial" w:eastAsia="Times New Roman" w:hAnsi="Arial" w:cs="Arial"/>
                <w:sz w:val="16"/>
                <w:szCs w:val="16"/>
                <w:lang w:eastAsia="hr-HR"/>
              </w:rPr>
            </w:pPr>
            <w:r w:rsidRPr="00BA5803">
              <w:rPr>
                <w:rFonts w:ascii="Arial" w:eastAsia="Times New Roman" w:hAnsi="Arial" w:cs="Arial"/>
                <w:sz w:val="16"/>
                <w:szCs w:val="16"/>
                <w:lang w:eastAsia="hr-HR"/>
              </w:rPr>
              <w:t>Arhivski materijal</w:t>
            </w:r>
          </w:p>
        </w:tc>
        <w:tc>
          <w:tcPr>
            <w:tcW w:w="1128" w:type="dxa"/>
            <w:tcBorders>
              <w:top w:val="single" w:sz="4" w:space="0" w:color="000080"/>
              <w:left w:val="nil"/>
              <w:bottom w:val="single" w:sz="4" w:space="0" w:color="000080"/>
              <w:right w:val="single" w:sz="4" w:space="0" w:color="000080"/>
            </w:tcBorders>
            <w:shd w:val="clear" w:color="000000" w:fill="DCE6F1"/>
            <w:vAlign w:val="center"/>
            <w:hideMark/>
          </w:tcPr>
          <w:p w:rsidR="00805181" w:rsidRPr="00BA5803" w:rsidRDefault="00805181" w:rsidP="00933C67">
            <w:pPr>
              <w:spacing w:after="0" w:line="240" w:lineRule="auto"/>
              <w:jc w:val="center"/>
              <w:rPr>
                <w:rFonts w:ascii="Arial" w:eastAsia="Times New Roman" w:hAnsi="Arial" w:cs="Arial"/>
                <w:sz w:val="16"/>
                <w:szCs w:val="16"/>
                <w:lang w:eastAsia="hr-HR"/>
              </w:rPr>
            </w:pPr>
            <w:r w:rsidRPr="00BA5803">
              <w:rPr>
                <w:rFonts w:ascii="Arial" w:eastAsia="Times New Roman" w:hAnsi="Arial" w:cs="Arial"/>
                <w:sz w:val="16"/>
                <w:szCs w:val="16"/>
                <w:lang w:eastAsia="hr-HR"/>
              </w:rPr>
              <w:t>Materijal i sredstva za čišćenje i održavanje</w:t>
            </w:r>
          </w:p>
        </w:tc>
        <w:tc>
          <w:tcPr>
            <w:tcW w:w="1032" w:type="dxa"/>
            <w:tcBorders>
              <w:top w:val="single" w:sz="4" w:space="0" w:color="000080"/>
              <w:left w:val="nil"/>
              <w:bottom w:val="single" w:sz="4" w:space="0" w:color="000080"/>
              <w:right w:val="single" w:sz="4" w:space="0" w:color="000080"/>
            </w:tcBorders>
            <w:shd w:val="clear" w:color="000000" w:fill="DCE6F1"/>
            <w:vAlign w:val="center"/>
            <w:hideMark/>
          </w:tcPr>
          <w:p w:rsidR="00805181" w:rsidRPr="00BA5803" w:rsidRDefault="00805181" w:rsidP="00933C67">
            <w:pPr>
              <w:spacing w:after="0" w:line="240" w:lineRule="auto"/>
              <w:jc w:val="center"/>
              <w:rPr>
                <w:rFonts w:ascii="Arial" w:eastAsia="Times New Roman" w:hAnsi="Arial" w:cs="Arial"/>
                <w:sz w:val="16"/>
                <w:szCs w:val="16"/>
                <w:lang w:eastAsia="hr-HR"/>
              </w:rPr>
            </w:pPr>
            <w:r w:rsidRPr="00BA5803">
              <w:rPr>
                <w:rFonts w:ascii="Arial" w:eastAsia="Times New Roman" w:hAnsi="Arial" w:cs="Arial"/>
                <w:sz w:val="16"/>
                <w:szCs w:val="16"/>
                <w:lang w:eastAsia="hr-HR"/>
              </w:rPr>
              <w:t>Materijal za higijenske potrebe i njegu</w:t>
            </w:r>
          </w:p>
        </w:tc>
        <w:tc>
          <w:tcPr>
            <w:tcW w:w="1005" w:type="dxa"/>
            <w:tcBorders>
              <w:top w:val="single" w:sz="4" w:space="0" w:color="000080"/>
              <w:left w:val="nil"/>
              <w:bottom w:val="single" w:sz="4" w:space="0" w:color="000080"/>
              <w:right w:val="single" w:sz="4" w:space="0" w:color="000080"/>
            </w:tcBorders>
            <w:shd w:val="clear" w:color="000000" w:fill="DCE6F1"/>
            <w:vAlign w:val="center"/>
            <w:hideMark/>
          </w:tcPr>
          <w:p w:rsidR="00805181" w:rsidRPr="00BA5803" w:rsidRDefault="00805181" w:rsidP="00933C67">
            <w:pPr>
              <w:spacing w:after="0" w:line="240" w:lineRule="auto"/>
              <w:jc w:val="center"/>
              <w:rPr>
                <w:rFonts w:ascii="Arial" w:eastAsia="Times New Roman" w:hAnsi="Arial" w:cs="Arial"/>
                <w:sz w:val="16"/>
                <w:szCs w:val="16"/>
                <w:lang w:eastAsia="hr-HR"/>
              </w:rPr>
            </w:pPr>
            <w:r w:rsidRPr="00BA5803">
              <w:rPr>
                <w:rFonts w:ascii="Arial" w:eastAsia="Times New Roman" w:hAnsi="Arial" w:cs="Arial"/>
                <w:sz w:val="16"/>
                <w:szCs w:val="16"/>
                <w:lang w:eastAsia="hr-HR"/>
              </w:rPr>
              <w:t>Ostali materijal za potrebe redovnog poslovanja</w:t>
            </w:r>
          </w:p>
        </w:tc>
      </w:tr>
      <w:tr w:rsidR="00805181" w:rsidRPr="00BA5803" w:rsidTr="00933C67">
        <w:trPr>
          <w:trHeight w:val="300"/>
          <w:jc w:val="center"/>
        </w:trPr>
        <w:tc>
          <w:tcPr>
            <w:tcW w:w="1175" w:type="dxa"/>
            <w:tcBorders>
              <w:top w:val="nil"/>
              <w:left w:val="single" w:sz="4" w:space="0" w:color="000080"/>
              <w:bottom w:val="single" w:sz="4" w:space="0" w:color="000080"/>
              <w:right w:val="single" w:sz="4" w:space="0" w:color="000080"/>
            </w:tcBorders>
            <w:shd w:val="clear" w:color="000000" w:fill="DCE6F1"/>
            <w:noWrap/>
            <w:vAlign w:val="center"/>
            <w:hideMark/>
          </w:tcPr>
          <w:p w:rsidR="00805181" w:rsidRPr="00BA5803" w:rsidRDefault="00805181" w:rsidP="00BA5803">
            <w:pPr>
              <w:spacing w:after="0" w:line="240" w:lineRule="auto"/>
              <w:ind w:firstLineChars="200" w:firstLine="321"/>
              <w:rPr>
                <w:rFonts w:ascii="Arial" w:eastAsia="Times New Roman" w:hAnsi="Arial" w:cs="Arial"/>
                <w:b/>
                <w:sz w:val="16"/>
                <w:szCs w:val="16"/>
                <w:lang w:eastAsia="hr-HR"/>
              </w:rPr>
            </w:pPr>
            <w:r w:rsidRPr="00BA5803">
              <w:rPr>
                <w:rFonts w:ascii="Arial" w:eastAsia="Times New Roman" w:hAnsi="Arial" w:cs="Arial"/>
                <w:b/>
                <w:sz w:val="16"/>
                <w:szCs w:val="16"/>
                <w:lang w:eastAsia="hr-HR"/>
              </w:rPr>
              <w:t>Ukupno</w:t>
            </w:r>
          </w:p>
        </w:tc>
        <w:tc>
          <w:tcPr>
            <w:tcW w:w="999" w:type="dxa"/>
            <w:tcBorders>
              <w:top w:val="nil"/>
              <w:left w:val="nil"/>
              <w:bottom w:val="single" w:sz="4" w:space="0" w:color="000080"/>
              <w:right w:val="single" w:sz="4" w:space="0" w:color="000080"/>
            </w:tcBorders>
            <w:shd w:val="clear" w:color="000000" w:fill="DCE6F1"/>
            <w:noWrap/>
            <w:vAlign w:val="center"/>
            <w:hideMark/>
          </w:tcPr>
          <w:p w:rsidR="00805181" w:rsidRPr="00BA5803" w:rsidRDefault="00805181" w:rsidP="00805181">
            <w:pPr>
              <w:spacing w:after="0" w:line="240" w:lineRule="auto"/>
              <w:jc w:val="right"/>
              <w:rPr>
                <w:rFonts w:ascii="Arial" w:eastAsia="Times New Roman" w:hAnsi="Arial" w:cs="Arial"/>
                <w:b/>
                <w:color w:val="000000"/>
                <w:sz w:val="16"/>
                <w:szCs w:val="16"/>
                <w:lang w:eastAsia="hr-HR"/>
              </w:rPr>
            </w:pPr>
            <w:r w:rsidRPr="00BA5803">
              <w:rPr>
                <w:rFonts w:ascii="Arial" w:eastAsia="Times New Roman" w:hAnsi="Arial" w:cs="Arial"/>
                <w:b/>
                <w:color w:val="000000"/>
                <w:sz w:val="16"/>
                <w:szCs w:val="16"/>
                <w:lang w:eastAsia="hr-HR"/>
              </w:rPr>
              <w:t>186,358</w:t>
            </w:r>
          </w:p>
        </w:tc>
        <w:tc>
          <w:tcPr>
            <w:tcW w:w="965" w:type="dxa"/>
            <w:tcBorders>
              <w:top w:val="nil"/>
              <w:left w:val="nil"/>
              <w:bottom w:val="single" w:sz="4" w:space="0" w:color="000080"/>
              <w:right w:val="single" w:sz="4" w:space="0" w:color="000080"/>
            </w:tcBorders>
            <w:shd w:val="clear" w:color="000000" w:fill="DCE6F1"/>
            <w:noWrap/>
            <w:vAlign w:val="center"/>
            <w:hideMark/>
          </w:tcPr>
          <w:p w:rsidR="00805181" w:rsidRPr="00BA5803" w:rsidRDefault="00805181" w:rsidP="00805181">
            <w:pPr>
              <w:spacing w:after="0" w:line="240" w:lineRule="auto"/>
              <w:jc w:val="right"/>
              <w:rPr>
                <w:rFonts w:ascii="Arial" w:eastAsia="Times New Roman" w:hAnsi="Arial" w:cs="Arial"/>
                <w:color w:val="000000"/>
                <w:sz w:val="16"/>
                <w:szCs w:val="16"/>
                <w:lang w:eastAsia="hr-HR"/>
              </w:rPr>
            </w:pPr>
            <w:r w:rsidRPr="00BA5803">
              <w:rPr>
                <w:rFonts w:ascii="Arial" w:eastAsia="Times New Roman" w:hAnsi="Arial" w:cs="Arial"/>
                <w:color w:val="000000"/>
                <w:sz w:val="16"/>
                <w:szCs w:val="16"/>
                <w:lang w:eastAsia="hr-HR"/>
              </w:rPr>
              <w:t>117,957</w:t>
            </w:r>
          </w:p>
        </w:tc>
        <w:tc>
          <w:tcPr>
            <w:tcW w:w="1051" w:type="dxa"/>
            <w:tcBorders>
              <w:top w:val="nil"/>
              <w:left w:val="nil"/>
              <w:bottom w:val="single" w:sz="4" w:space="0" w:color="000080"/>
              <w:right w:val="single" w:sz="4" w:space="0" w:color="000080"/>
            </w:tcBorders>
            <w:shd w:val="clear" w:color="000000" w:fill="DCE6F1"/>
            <w:noWrap/>
            <w:vAlign w:val="center"/>
            <w:hideMark/>
          </w:tcPr>
          <w:p w:rsidR="00805181" w:rsidRPr="00BA5803" w:rsidRDefault="00805181" w:rsidP="00805181">
            <w:pPr>
              <w:spacing w:after="0" w:line="240" w:lineRule="auto"/>
              <w:jc w:val="right"/>
              <w:rPr>
                <w:rFonts w:ascii="Arial" w:eastAsia="Times New Roman" w:hAnsi="Arial" w:cs="Arial"/>
                <w:color w:val="000000"/>
                <w:sz w:val="16"/>
                <w:szCs w:val="16"/>
                <w:lang w:eastAsia="hr-HR"/>
              </w:rPr>
            </w:pPr>
            <w:r w:rsidRPr="00BA5803">
              <w:rPr>
                <w:rFonts w:ascii="Arial" w:eastAsia="Times New Roman" w:hAnsi="Arial" w:cs="Arial"/>
                <w:color w:val="000000"/>
                <w:sz w:val="16"/>
                <w:szCs w:val="16"/>
                <w:lang w:eastAsia="hr-HR"/>
              </w:rPr>
              <w:t>13,618</w:t>
            </w:r>
          </w:p>
        </w:tc>
        <w:tc>
          <w:tcPr>
            <w:tcW w:w="965" w:type="dxa"/>
            <w:tcBorders>
              <w:top w:val="nil"/>
              <w:left w:val="nil"/>
              <w:bottom w:val="single" w:sz="4" w:space="0" w:color="000080"/>
              <w:right w:val="single" w:sz="4" w:space="0" w:color="000080"/>
            </w:tcBorders>
            <w:shd w:val="clear" w:color="000000" w:fill="DCE6F1"/>
            <w:noWrap/>
            <w:vAlign w:val="center"/>
            <w:hideMark/>
          </w:tcPr>
          <w:p w:rsidR="00805181" w:rsidRPr="00BA5803" w:rsidRDefault="007A2E65" w:rsidP="00805181">
            <w:pPr>
              <w:spacing w:after="0" w:line="240" w:lineRule="auto"/>
              <w:jc w:val="right"/>
              <w:rPr>
                <w:rFonts w:ascii="Arial" w:eastAsia="Times New Roman" w:hAnsi="Arial" w:cs="Arial"/>
                <w:color w:val="000000"/>
                <w:sz w:val="16"/>
                <w:szCs w:val="16"/>
                <w:lang w:eastAsia="hr-HR"/>
              </w:rPr>
            </w:pPr>
            <w:r w:rsidRPr="00BA5803">
              <w:rPr>
                <w:rFonts w:ascii="Arial" w:eastAsia="Times New Roman" w:hAnsi="Arial" w:cs="Arial"/>
                <w:color w:val="000000"/>
                <w:sz w:val="16"/>
                <w:szCs w:val="16"/>
                <w:lang w:eastAsia="hr-HR"/>
              </w:rPr>
              <w:t>0</w:t>
            </w:r>
            <w:r w:rsidR="00805181" w:rsidRPr="00BA5803">
              <w:rPr>
                <w:rFonts w:ascii="Arial" w:eastAsia="Times New Roman" w:hAnsi="Arial" w:cs="Arial"/>
                <w:color w:val="000000"/>
                <w:sz w:val="16"/>
                <w:szCs w:val="16"/>
                <w:lang w:eastAsia="hr-HR"/>
              </w:rPr>
              <w:t>,555</w:t>
            </w:r>
          </w:p>
        </w:tc>
        <w:tc>
          <w:tcPr>
            <w:tcW w:w="1128" w:type="dxa"/>
            <w:tcBorders>
              <w:top w:val="nil"/>
              <w:left w:val="nil"/>
              <w:bottom w:val="single" w:sz="4" w:space="0" w:color="000080"/>
              <w:right w:val="single" w:sz="4" w:space="0" w:color="000080"/>
            </w:tcBorders>
            <w:shd w:val="clear" w:color="000000" w:fill="DCE6F1"/>
            <w:noWrap/>
            <w:vAlign w:val="center"/>
            <w:hideMark/>
          </w:tcPr>
          <w:p w:rsidR="00805181" w:rsidRPr="00BA5803" w:rsidRDefault="00805181" w:rsidP="00805181">
            <w:pPr>
              <w:spacing w:after="0" w:line="240" w:lineRule="auto"/>
              <w:jc w:val="right"/>
              <w:rPr>
                <w:rFonts w:ascii="Arial" w:eastAsia="Times New Roman" w:hAnsi="Arial" w:cs="Arial"/>
                <w:color w:val="000000"/>
                <w:sz w:val="16"/>
                <w:szCs w:val="16"/>
                <w:lang w:eastAsia="hr-HR"/>
              </w:rPr>
            </w:pPr>
            <w:r w:rsidRPr="00BA5803">
              <w:rPr>
                <w:rFonts w:ascii="Arial" w:eastAsia="Times New Roman" w:hAnsi="Arial" w:cs="Arial"/>
                <w:color w:val="000000"/>
                <w:sz w:val="16"/>
                <w:szCs w:val="16"/>
                <w:lang w:eastAsia="hr-HR"/>
              </w:rPr>
              <w:t>16,868</w:t>
            </w:r>
          </w:p>
        </w:tc>
        <w:tc>
          <w:tcPr>
            <w:tcW w:w="1032" w:type="dxa"/>
            <w:tcBorders>
              <w:top w:val="nil"/>
              <w:left w:val="nil"/>
              <w:bottom w:val="single" w:sz="4" w:space="0" w:color="000080"/>
              <w:right w:val="single" w:sz="4" w:space="0" w:color="000080"/>
            </w:tcBorders>
            <w:shd w:val="clear" w:color="000000" w:fill="DCE6F1"/>
            <w:noWrap/>
            <w:vAlign w:val="center"/>
            <w:hideMark/>
          </w:tcPr>
          <w:p w:rsidR="00805181" w:rsidRPr="00BA5803" w:rsidRDefault="00805181" w:rsidP="00805181">
            <w:pPr>
              <w:spacing w:after="0" w:line="240" w:lineRule="auto"/>
              <w:jc w:val="right"/>
              <w:rPr>
                <w:rFonts w:ascii="Arial" w:eastAsia="Times New Roman" w:hAnsi="Arial" w:cs="Arial"/>
                <w:color w:val="000000"/>
                <w:sz w:val="16"/>
                <w:szCs w:val="16"/>
                <w:lang w:eastAsia="hr-HR"/>
              </w:rPr>
            </w:pPr>
            <w:r w:rsidRPr="00BA5803">
              <w:rPr>
                <w:rFonts w:ascii="Arial" w:eastAsia="Times New Roman" w:hAnsi="Arial" w:cs="Arial"/>
                <w:color w:val="000000"/>
                <w:sz w:val="16"/>
                <w:szCs w:val="16"/>
                <w:lang w:eastAsia="hr-HR"/>
              </w:rPr>
              <w:t>14,788</w:t>
            </w:r>
          </w:p>
        </w:tc>
        <w:tc>
          <w:tcPr>
            <w:tcW w:w="1005" w:type="dxa"/>
            <w:tcBorders>
              <w:top w:val="nil"/>
              <w:left w:val="nil"/>
              <w:bottom w:val="single" w:sz="4" w:space="0" w:color="000080"/>
              <w:right w:val="single" w:sz="4" w:space="0" w:color="000080"/>
            </w:tcBorders>
            <w:shd w:val="clear" w:color="000000" w:fill="DCE6F1"/>
            <w:noWrap/>
            <w:vAlign w:val="center"/>
            <w:hideMark/>
          </w:tcPr>
          <w:p w:rsidR="00805181" w:rsidRPr="00BA5803" w:rsidRDefault="00805181" w:rsidP="00805181">
            <w:pPr>
              <w:spacing w:after="0" w:line="240" w:lineRule="auto"/>
              <w:jc w:val="right"/>
              <w:rPr>
                <w:rFonts w:ascii="Arial" w:eastAsia="Times New Roman" w:hAnsi="Arial" w:cs="Arial"/>
                <w:color w:val="000000"/>
                <w:sz w:val="16"/>
                <w:szCs w:val="16"/>
                <w:lang w:eastAsia="hr-HR"/>
              </w:rPr>
            </w:pPr>
            <w:r w:rsidRPr="00BA5803">
              <w:rPr>
                <w:rFonts w:ascii="Arial" w:eastAsia="Times New Roman" w:hAnsi="Arial" w:cs="Arial"/>
                <w:color w:val="000000"/>
                <w:sz w:val="16"/>
                <w:szCs w:val="16"/>
                <w:lang w:eastAsia="hr-HR"/>
              </w:rPr>
              <w:t>22,571</w:t>
            </w:r>
          </w:p>
        </w:tc>
      </w:tr>
      <w:tr w:rsidR="00805181" w:rsidRPr="00BA5803" w:rsidTr="00933C67">
        <w:trPr>
          <w:trHeight w:val="216"/>
          <w:jc w:val="center"/>
        </w:trPr>
        <w:tc>
          <w:tcPr>
            <w:tcW w:w="1175" w:type="dxa"/>
            <w:tcBorders>
              <w:top w:val="nil"/>
              <w:left w:val="single" w:sz="4" w:space="0" w:color="000080"/>
              <w:bottom w:val="single" w:sz="4" w:space="0" w:color="000080"/>
              <w:right w:val="single" w:sz="4" w:space="0" w:color="000080"/>
            </w:tcBorders>
            <w:shd w:val="clear" w:color="auto" w:fill="auto"/>
            <w:noWrap/>
            <w:vAlign w:val="center"/>
            <w:hideMark/>
          </w:tcPr>
          <w:p w:rsidR="00805181" w:rsidRPr="00BA5803" w:rsidRDefault="00805181" w:rsidP="00BA5803">
            <w:pPr>
              <w:spacing w:after="0" w:line="240" w:lineRule="auto"/>
              <w:ind w:firstLineChars="200" w:firstLine="321"/>
              <w:rPr>
                <w:rFonts w:ascii="Arial" w:eastAsia="Times New Roman" w:hAnsi="Arial" w:cs="Arial"/>
                <w:b/>
                <w:sz w:val="16"/>
                <w:szCs w:val="16"/>
                <w:lang w:eastAsia="hr-HR"/>
              </w:rPr>
            </w:pPr>
            <w:r w:rsidRPr="00BA5803">
              <w:rPr>
                <w:rFonts w:ascii="Arial" w:eastAsia="Times New Roman" w:hAnsi="Arial" w:cs="Arial"/>
                <w:b/>
                <w:sz w:val="16"/>
                <w:szCs w:val="16"/>
                <w:lang w:eastAsia="hr-HR"/>
              </w:rPr>
              <w:t>- 1+2+8</w:t>
            </w:r>
          </w:p>
        </w:tc>
        <w:tc>
          <w:tcPr>
            <w:tcW w:w="999" w:type="dxa"/>
            <w:tcBorders>
              <w:top w:val="nil"/>
              <w:left w:val="nil"/>
              <w:bottom w:val="single" w:sz="4" w:space="0" w:color="000080"/>
              <w:right w:val="single" w:sz="4" w:space="0" w:color="000080"/>
            </w:tcBorders>
            <w:shd w:val="clear" w:color="auto" w:fill="auto"/>
            <w:noWrap/>
            <w:vAlign w:val="center"/>
            <w:hideMark/>
          </w:tcPr>
          <w:p w:rsidR="00805181" w:rsidRPr="00BA5803" w:rsidRDefault="00805181" w:rsidP="00805181">
            <w:pPr>
              <w:spacing w:after="0" w:line="240" w:lineRule="auto"/>
              <w:jc w:val="right"/>
              <w:rPr>
                <w:rFonts w:ascii="Arial" w:eastAsia="Times New Roman" w:hAnsi="Arial" w:cs="Arial"/>
                <w:b/>
                <w:color w:val="000000"/>
                <w:sz w:val="16"/>
                <w:szCs w:val="16"/>
                <w:lang w:eastAsia="hr-HR"/>
              </w:rPr>
            </w:pPr>
            <w:r w:rsidRPr="00BA5803">
              <w:rPr>
                <w:rFonts w:ascii="Arial" w:eastAsia="Times New Roman" w:hAnsi="Arial" w:cs="Arial"/>
                <w:b/>
                <w:color w:val="000000"/>
                <w:sz w:val="16"/>
                <w:szCs w:val="16"/>
                <w:lang w:eastAsia="hr-HR"/>
              </w:rPr>
              <w:t>177,197</w:t>
            </w:r>
          </w:p>
        </w:tc>
        <w:tc>
          <w:tcPr>
            <w:tcW w:w="965" w:type="dxa"/>
            <w:tcBorders>
              <w:top w:val="nil"/>
              <w:left w:val="nil"/>
              <w:bottom w:val="single" w:sz="4" w:space="0" w:color="000080"/>
              <w:right w:val="single" w:sz="4" w:space="0" w:color="000080"/>
            </w:tcBorders>
            <w:shd w:val="clear" w:color="auto" w:fill="auto"/>
            <w:noWrap/>
            <w:vAlign w:val="center"/>
            <w:hideMark/>
          </w:tcPr>
          <w:p w:rsidR="00805181" w:rsidRPr="00BA5803" w:rsidRDefault="00805181" w:rsidP="00805181">
            <w:pPr>
              <w:spacing w:after="0" w:line="240" w:lineRule="auto"/>
              <w:jc w:val="right"/>
              <w:rPr>
                <w:rFonts w:ascii="Arial" w:eastAsia="Times New Roman" w:hAnsi="Arial" w:cs="Arial"/>
                <w:color w:val="000000"/>
                <w:sz w:val="16"/>
                <w:szCs w:val="16"/>
                <w:lang w:eastAsia="hr-HR"/>
              </w:rPr>
            </w:pPr>
            <w:r w:rsidRPr="00BA5803">
              <w:rPr>
                <w:rFonts w:ascii="Arial" w:eastAsia="Times New Roman" w:hAnsi="Arial" w:cs="Arial"/>
                <w:color w:val="000000"/>
                <w:sz w:val="16"/>
                <w:szCs w:val="16"/>
                <w:lang w:eastAsia="hr-HR"/>
              </w:rPr>
              <w:t>113,586</w:t>
            </w:r>
          </w:p>
        </w:tc>
        <w:tc>
          <w:tcPr>
            <w:tcW w:w="1051" w:type="dxa"/>
            <w:tcBorders>
              <w:top w:val="nil"/>
              <w:left w:val="nil"/>
              <w:bottom w:val="single" w:sz="4" w:space="0" w:color="000080"/>
              <w:right w:val="single" w:sz="4" w:space="0" w:color="000080"/>
            </w:tcBorders>
            <w:shd w:val="clear" w:color="auto" w:fill="auto"/>
            <w:noWrap/>
            <w:vAlign w:val="center"/>
            <w:hideMark/>
          </w:tcPr>
          <w:p w:rsidR="00805181" w:rsidRPr="00BA5803" w:rsidRDefault="00805181" w:rsidP="00805181">
            <w:pPr>
              <w:spacing w:after="0" w:line="240" w:lineRule="auto"/>
              <w:jc w:val="right"/>
              <w:rPr>
                <w:rFonts w:ascii="Arial" w:eastAsia="Times New Roman" w:hAnsi="Arial" w:cs="Arial"/>
                <w:color w:val="000000"/>
                <w:sz w:val="16"/>
                <w:szCs w:val="16"/>
                <w:lang w:eastAsia="hr-HR"/>
              </w:rPr>
            </w:pPr>
            <w:r w:rsidRPr="00BA5803">
              <w:rPr>
                <w:rFonts w:ascii="Arial" w:eastAsia="Times New Roman" w:hAnsi="Arial" w:cs="Arial"/>
                <w:color w:val="000000"/>
                <w:sz w:val="16"/>
                <w:szCs w:val="16"/>
                <w:lang w:eastAsia="hr-HR"/>
              </w:rPr>
              <w:t>13,441</w:t>
            </w:r>
          </w:p>
        </w:tc>
        <w:tc>
          <w:tcPr>
            <w:tcW w:w="965" w:type="dxa"/>
            <w:tcBorders>
              <w:top w:val="nil"/>
              <w:left w:val="nil"/>
              <w:bottom w:val="single" w:sz="4" w:space="0" w:color="000080"/>
              <w:right w:val="single" w:sz="4" w:space="0" w:color="000080"/>
            </w:tcBorders>
            <w:shd w:val="clear" w:color="auto" w:fill="auto"/>
            <w:noWrap/>
            <w:vAlign w:val="center"/>
            <w:hideMark/>
          </w:tcPr>
          <w:p w:rsidR="00805181" w:rsidRPr="00BA5803" w:rsidRDefault="007A2E65" w:rsidP="00805181">
            <w:pPr>
              <w:spacing w:after="0" w:line="240" w:lineRule="auto"/>
              <w:jc w:val="right"/>
              <w:rPr>
                <w:rFonts w:ascii="Arial" w:eastAsia="Times New Roman" w:hAnsi="Arial" w:cs="Arial"/>
                <w:color w:val="000000"/>
                <w:sz w:val="16"/>
                <w:szCs w:val="16"/>
                <w:lang w:eastAsia="hr-HR"/>
              </w:rPr>
            </w:pPr>
            <w:r w:rsidRPr="00BA5803">
              <w:rPr>
                <w:rFonts w:ascii="Arial" w:eastAsia="Times New Roman" w:hAnsi="Arial" w:cs="Arial"/>
                <w:color w:val="000000"/>
                <w:sz w:val="16"/>
                <w:szCs w:val="16"/>
                <w:lang w:eastAsia="hr-HR"/>
              </w:rPr>
              <w:t>0</w:t>
            </w:r>
            <w:r w:rsidR="00805181" w:rsidRPr="00BA5803">
              <w:rPr>
                <w:rFonts w:ascii="Arial" w:eastAsia="Times New Roman" w:hAnsi="Arial" w:cs="Arial"/>
                <w:color w:val="000000"/>
                <w:sz w:val="16"/>
                <w:szCs w:val="16"/>
                <w:lang w:eastAsia="hr-HR"/>
              </w:rPr>
              <w:t>,529</w:t>
            </w:r>
          </w:p>
        </w:tc>
        <w:tc>
          <w:tcPr>
            <w:tcW w:w="1128" w:type="dxa"/>
            <w:tcBorders>
              <w:top w:val="nil"/>
              <w:left w:val="nil"/>
              <w:bottom w:val="single" w:sz="4" w:space="0" w:color="000080"/>
              <w:right w:val="single" w:sz="4" w:space="0" w:color="000080"/>
            </w:tcBorders>
            <w:shd w:val="clear" w:color="auto" w:fill="auto"/>
            <w:noWrap/>
            <w:vAlign w:val="center"/>
            <w:hideMark/>
          </w:tcPr>
          <w:p w:rsidR="00805181" w:rsidRPr="00BA5803" w:rsidRDefault="00805181" w:rsidP="00805181">
            <w:pPr>
              <w:spacing w:after="0" w:line="240" w:lineRule="auto"/>
              <w:jc w:val="right"/>
              <w:rPr>
                <w:rFonts w:ascii="Arial" w:eastAsia="Times New Roman" w:hAnsi="Arial" w:cs="Arial"/>
                <w:color w:val="000000"/>
                <w:sz w:val="16"/>
                <w:szCs w:val="16"/>
                <w:lang w:eastAsia="hr-HR"/>
              </w:rPr>
            </w:pPr>
            <w:r w:rsidRPr="00BA5803">
              <w:rPr>
                <w:rFonts w:ascii="Arial" w:eastAsia="Times New Roman" w:hAnsi="Arial" w:cs="Arial"/>
                <w:color w:val="000000"/>
                <w:sz w:val="16"/>
                <w:szCs w:val="16"/>
                <w:lang w:eastAsia="hr-HR"/>
              </w:rPr>
              <w:t>15,47</w:t>
            </w:r>
            <w:r w:rsidR="00126D03" w:rsidRPr="00BA5803">
              <w:rPr>
                <w:rFonts w:ascii="Arial" w:eastAsia="Times New Roman" w:hAnsi="Arial" w:cs="Arial"/>
                <w:color w:val="000000"/>
                <w:sz w:val="16"/>
                <w:szCs w:val="16"/>
                <w:lang w:eastAsia="hr-HR"/>
              </w:rPr>
              <w:t>0</w:t>
            </w:r>
          </w:p>
        </w:tc>
        <w:tc>
          <w:tcPr>
            <w:tcW w:w="1032" w:type="dxa"/>
            <w:tcBorders>
              <w:top w:val="nil"/>
              <w:left w:val="nil"/>
              <w:bottom w:val="single" w:sz="4" w:space="0" w:color="000080"/>
              <w:right w:val="single" w:sz="4" w:space="0" w:color="000080"/>
            </w:tcBorders>
            <w:shd w:val="clear" w:color="auto" w:fill="auto"/>
            <w:noWrap/>
            <w:vAlign w:val="center"/>
            <w:hideMark/>
          </w:tcPr>
          <w:p w:rsidR="00805181" w:rsidRPr="00BA5803" w:rsidRDefault="00805181" w:rsidP="00805181">
            <w:pPr>
              <w:spacing w:after="0" w:line="240" w:lineRule="auto"/>
              <w:jc w:val="right"/>
              <w:rPr>
                <w:rFonts w:ascii="Arial" w:eastAsia="Times New Roman" w:hAnsi="Arial" w:cs="Arial"/>
                <w:color w:val="000000"/>
                <w:sz w:val="16"/>
                <w:szCs w:val="16"/>
                <w:lang w:eastAsia="hr-HR"/>
              </w:rPr>
            </w:pPr>
            <w:r w:rsidRPr="00BA5803">
              <w:rPr>
                <w:rFonts w:ascii="Arial" w:eastAsia="Times New Roman" w:hAnsi="Arial" w:cs="Arial"/>
                <w:color w:val="000000"/>
                <w:sz w:val="16"/>
                <w:szCs w:val="16"/>
                <w:lang w:eastAsia="hr-HR"/>
              </w:rPr>
              <w:t>13,126</w:t>
            </w:r>
          </w:p>
        </w:tc>
        <w:tc>
          <w:tcPr>
            <w:tcW w:w="1005" w:type="dxa"/>
            <w:tcBorders>
              <w:top w:val="nil"/>
              <w:left w:val="nil"/>
              <w:bottom w:val="single" w:sz="4" w:space="0" w:color="000080"/>
              <w:right w:val="single" w:sz="4" w:space="0" w:color="000080"/>
            </w:tcBorders>
            <w:shd w:val="clear" w:color="auto" w:fill="auto"/>
            <w:noWrap/>
            <w:vAlign w:val="center"/>
            <w:hideMark/>
          </w:tcPr>
          <w:p w:rsidR="00805181" w:rsidRPr="00BA5803" w:rsidRDefault="00805181" w:rsidP="00805181">
            <w:pPr>
              <w:spacing w:after="0" w:line="240" w:lineRule="auto"/>
              <w:jc w:val="right"/>
              <w:rPr>
                <w:rFonts w:ascii="Arial" w:eastAsia="Times New Roman" w:hAnsi="Arial" w:cs="Arial"/>
                <w:color w:val="000000"/>
                <w:sz w:val="16"/>
                <w:szCs w:val="16"/>
                <w:lang w:eastAsia="hr-HR"/>
              </w:rPr>
            </w:pPr>
            <w:r w:rsidRPr="00BA5803">
              <w:rPr>
                <w:rFonts w:ascii="Arial" w:eastAsia="Times New Roman" w:hAnsi="Arial" w:cs="Arial"/>
                <w:color w:val="000000"/>
                <w:sz w:val="16"/>
                <w:szCs w:val="16"/>
                <w:lang w:eastAsia="hr-HR"/>
              </w:rPr>
              <w:t>21,046</w:t>
            </w:r>
          </w:p>
        </w:tc>
      </w:tr>
      <w:tr w:rsidR="00805181" w:rsidRPr="00BA5803" w:rsidTr="00933C67">
        <w:trPr>
          <w:trHeight w:val="300"/>
          <w:jc w:val="center"/>
        </w:trPr>
        <w:tc>
          <w:tcPr>
            <w:tcW w:w="1175" w:type="dxa"/>
            <w:tcBorders>
              <w:top w:val="nil"/>
              <w:left w:val="single" w:sz="4" w:space="0" w:color="000080"/>
              <w:bottom w:val="single" w:sz="4" w:space="0" w:color="000080"/>
              <w:right w:val="single" w:sz="4" w:space="0" w:color="000080"/>
            </w:tcBorders>
            <w:shd w:val="clear" w:color="auto" w:fill="auto"/>
            <w:noWrap/>
            <w:vAlign w:val="center"/>
            <w:hideMark/>
          </w:tcPr>
          <w:p w:rsidR="00805181" w:rsidRPr="00BA5803" w:rsidRDefault="00805181" w:rsidP="00BA5803">
            <w:pPr>
              <w:spacing w:after="0" w:line="240" w:lineRule="auto"/>
              <w:ind w:firstLineChars="200" w:firstLine="321"/>
              <w:rPr>
                <w:rFonts w:ascii="Arial" w:eastAsia="Times New Roman" w:hAnsi="Arial" w:cs="Arial"/>
                <w:b/>
                <w:sz w:val="16"/>
                <w:szCs w:val="16"/>
                <w:lang w:eastAsia="hr-HR"/>
              </w:rPr>
            </w:pPr>
            <w:r w:rsidRPr="00BA5803">
              <w:rPr>
                <w:rFonts w:ascii="Arial" w:eastAsia="Times New Roman" w:hAnsi="Arial" w:cs="Arial"/>
                <w:b/>
                <w:sz w:val="16"/>
                <w:szCs w:val="16"/>
                <w:lang w:eastAsia="hr-HR"/>
              </w:rPr>
              <w:t>- ostali izvori</w:t>
            </w:r>
          </w:p>
        </w:tc>
        <w:tc>
          <w:tcPr>
            <w:tcW w:w="999" w:type="dxa"/>
            <w:tcBorders>
              <w:top w:val="nil"/>
              <w:left w:val="nil"/>
              <w:bottom w:val="single" w:sz="4" w:space="0" w:color="000080"/>
              <w:right w:val="single" w:sz="4" w:space="0" w:color="000080"/>
            </w:tcBorders>
            <w:shd w:val="clear" w:color="auto" w:fill="auto"/>
            <w:noWrap/>
            <w:vAlign w:val="center"/>
            <w:hideMark/>
          </w:tcPr>
          <w:p w:rsidR="00805181" w:rsidRPr="00BA5803" w:rsidRDefault="00805181" w:rsidP="00805181">
            <w:pPr>
              <w:spacing w:after="0" w:line="240" w:lineRule="auto"/>
              <w:jc w:val="right"/>
              <w:rPr>
                <w:rFonts w:ascii="Arial" w:eastAsia="Times New Roman" w:hAnsi="Arial" w:cs="Arial"/>
                <w:b/>
                <w:color w:val="000000"/>
                <w:sz w:val="16"/>
                <w:szCs w:val="16"/>
                <w:lang w:eastAsia="hr-HR"/>
              </w:rPr>
            </w:pPr>
            <w:r w:rsidRPr="00BA5803">
              <w:rPr>
                <w:rFonts w:ascii="Arial" w:eastAsia="Times New Roman" w:hAnsi="Arial" w:cs="Arial"/>
                <w:b/>
                <w:color w:val="000000"/>
                <w:sz w:val="16"/>
                <w:szCs w:val="16"/>
                <w:lang w:eastAsia="hr-HR"/>
              </w:rPr>
              <w:t>9,161</w:t>
            </w:r>
          </w:p>
        </w:tc>
        <w:tc>
          <w:tcPr>
            <w:tcW w:w="965" w:type="dxa"/>
            <w:tcBorders>
              <w:top w:val="nil"/>
              <w:left w:val="nil"/>
              <w:bottom w:val="single" w:sz="4" w:space="0" w:color="000080"/>
              <w:right w:val="single" w:sz="4" w:space="0" w:color="000080"/>
            </w:tcBorders>
            <w:shd w:val="clear" w:color="auto" w:fill="auto"/>
            <w:noWrap/>
            <w:vAlign w:val="center"/>
            <w:hideMark/>
          </w:tcPr>
          <w:p w:rsidR="00805181" w:rsidRPr="00BA5803" w:rsidRDefault="00805181" w:rsidP="00805181">
            <w:pPr>
              <w:spacing w:after="0" w:line="240" w:lineRule="auto"/>
              <w:jc w:val="right"/>
              <w:rPr>
                <w:rFonts w:ascii="Arial" w:eastAsia="Times New Roman" w:hAnsi="Arial" w:cs="Arial"/>
                <w:color w:val="000000"/>
                <w:sz w:val="16"/>
                <w:szCs w:val="16"/>
                <w:lang w:eastAsia="hr-HR"/>
              </w:rPr>
            </w:pPr>
            <w:r w:rsidRPr="00BA5803">
              <w:rPr>
                <w:rFonts w:ascii="Arial" w:eastAsia="Times New Roman" w:hAnsi="Arial" w:cs="Arial"/>
                <w:color w:val="000000"/>
                <w:sz w:val="16"/>
                <w:szCs w:val="16"/>
                <w:lang w:eastAsia="hr-HR"/>
              </w:rPr>
              <w:t>4,372</w:t>
            </w:r>
          </w:p>
        </w:tc>
        <w:tc>
          <w:tcPr>
            <w:tcW w:w="1051" w:type="dxa"/>
            <w:tcBorders>
              <w:top w:val="nil"/>
              <w:left w:val="nil"/>
              <w:bottom w:val="single" w:sz="4" w:space="0" w:color="000080"/>
              <w:right w:val="single" w:sz="4" w:space="0" w:color="000080"/>
            </w:tcBorders>
            <w:shd w:val="clear" w:color="auto" w:fill="auto"/>
            <w:noWrap/>
            <w:vAlign w:val="center"/>
            <w:hideMark/>
          </w:tcPr>
          <w:p w:rsidR="00805181" w:rsidRPr="00BA5803" w:rsidRDefault="007A2E65" w:rsidP="00805181">
            <w:pPr>
              <w:spacing w:after="0" w:line="240" w:lineRule="auto"/>
              <w:jc w:val="right"/>
              <w:rPr>
                <w:rFonts w:ascii="Arial" w:eastAsia="Times New Roman" w:hAnsi="Arial" w:cs="Arial"/>
                <w:color w:val="000000"/>
                <w:sz w:val="16"/>
                <w:szCs w:val="16"/>
                <w:lang w:eastAsia="hr-HR"/>
              </w:rPr>
            </w:pPr>
            <w:r w:rsidRPr="00BA5803">
              <w:rPr>
                <w:rFonts w:ascii="Arial" w:eastAsia="Times New Roman" w:hAnsi="Arial" w:cs="Arial"/>
                <w:color w:val="000000"/>
                <w:sz w:val="16"/>
                <w:szCs w:val="16"/>
                <w:lang w:eastAsia="hr-HR"/>
              </w:rPr>
              <w:t>0</w:t>
            </w:r>
            <w:r w:rsidR="00805181" w:rsidRPr="00BA5803">
              <w:rPr>
                <w:rFonts w:ascii="Arial" w:eastAsia="Times New Roman" w:hAnsi="Arial" w:cs="Arial"/>
                <w:color w:val="000000"/>
                <w:sz w:val="16"/>
                <w:szCs w:val="16"/>
                <w:lang w:eastAsia="hr-HR"/>
              </w:rPr>
              <w:t>,177</w:t>
            </w:r>
          </w:p>
        </w:tc>
        <w:tc>
          <w:tcPr>
            <w:tcW w:w="965" w:type="dxa"/>
            <w:tcBorders>
              <w:top w:val="nil"/>
              <w:left w:val="nil"/>
              <w:bottom w:val="single" w:sz="4" w:space="0" w:color="000080"/>
              <w:right w:val="single" w:sz="4" w:space="0" w:color="000080"/>
            </w:tcBorders>
            <w:shd w:val="clear" w:color="auto" w:fill="auto"/>
            <w:noWrap/>
            <w:vAlign w:val="center"/>
            <w:hideMark/>
          </w:tcPr>
          <w:p w:rsidR="00805181" w:rsidRPr="00BA5803" w:rsidRDefault="007A2E65" w:rsidP="00805181">
            <w:pPr>
              <w:spacing w:after="0" w:line="240" w:lineRule="auto"/>
              <w:jc w:val="right"/>
              <w:rPr>
                <w:rFonts w:ascii="Arial" w:eastAsia="Times New Roman" w:hAnsi="Arial" w:cs="Arial"/>
                <w:color w:val="000000"/>
                <w:sz w:val="16"/>
                <w:szCs w:val="16"/>
                <w:lang w:eastAsia="hr-HR"/>
              </w:rPr>
            </w:pPr>
            <w:r w:rsidRPr="00BA5803">
              <w:rPr>
                <w:rFonts w:ascii="Arial" w:eastAsia="Times New Roman" w:hAnsi="Arial" w:cs="Arial"/>
                <w:color w:val="000000"/>
                <w:sz w:val="16"/>
                <w:szCs w:val="16"/>
                <w:lang w:eastAsia="hr-HR"/>
              </w:rPr>
              <w:t>0</w:t>
            </w:r>
            <w:r w:rsidR="00805181" w:rsidRPr="00BA5803">
              <w:rPr>
                <w:rFonts w:ascii="Arial" w:eastAsia="Times New Roman" w:hAnsi="Arial" w:cs="Arial"/>
                <w:color w:val="000000"/>
                <w:sz w:val="16"/>
                <w:szCs w:val="16"/>
                <w:lang w:eastAsia="hr-HR"/>
              </w:rPr>
              <w:t>,026</w:t>
            </w:r>
          </w:p>
        </w:tc>
        <w:tc>
          <w:tcPr>
            <w:tcW w:w="1128" w:type="dxa"/>
            <w:tcBorders>
              <w:top w:val="nil"/>
              <w:left w:val="nil"/>
              <w:bottom w:val="single" w:sz="4" w:space="0" w:color="000080"/>
              <w:right w:val="single" w:sz="4" w:space="0" w:color="000080"/>
            </w:tcBorders>
            <w:shd w:val="clear" w:color="auto" w:fill="auto"/>
            <w:noWrap/>
            <w:vAlign w:val="center"/>
            <w:hideMark/>
          </w:tcPr>
          <w:p w:rsidR="00805181" w:rsidRPr="00BA5803" w:rsidRDefault="00805181" w:rsidP="00805181">
            <w:pPr>
              <w:spacing w:after="0" w:line="240" w:lineRule="auto"/>
              <w:jc w:val="right"/>
              <w:rPr>
                <w:rFonts w:ascii="Arial" w:eastAsia="Times New Roman" w:hAnsi="Arial" w:cs="Arial"/>
                <w:color w:val="000000"/>
                <w:sz w:val="16"/>
                <w:szCs w:val="16"/>
                <w:lang w:eastAsia="hr-HR"/>
              </w:rPr>
            </w:pPr>
            <w:r w:rsidRPr="00BA5803">
              <w:rPr>
                <w:rFonts w:ascii="Arial" w:eastAsia="Times New Roman" w:hAnsi="Arial" w:cs="Arial"/>
                <w:color w:val="000000"/>
                <w:sz w:val="16"/>
                <w:szCs w:val="16"/>
                <w:lang w:eastAsia="hr-HR"/>
              </w:rPr>
              <w:t>1,399</w:t>
            </w:r>
          </w:p>
        </w:tc>
        <w:tc>
          <w:tcPr>
            <w:tcW w:w="1032" w:type="dxa"/>
            <w:tcBorders>
              <w:top w:val="nil"/>
              <w:left w:val="nil"/>
              <w:bottom w:val="single" w:sz="4" w:space="0" w:color="000080"/>
              <w:right w:val="single" w:sz="4" w:space="0" w:color="000080"/>
            </w:tcBorders>
            <w:shd w:val="clear" w:color="auto" w:fill="auto"/>
            <w:noWrap/>
            <w:vAlign w:val="center"/>
            <w:hideMark/>
          </w:tcPr>
          <w:p w:rsidR="00805181" w:rsidRPr="00BA5803" w:rsidRDefault="00805181" w:rsidP="00805181">
            <w:pPr>
              <w:spacing w:after="0" w:line="240" w:lineRule="auto"/>
              <w:jc w:val="right"/>
              <w:rPr>
                <w:rFonts w:ascii="Arial" w:eastAsia="Times New Roman" w:hAnsi="Arial" w:cs="Arial"/>
                <w:color w:val="000000"/>
                <w:sz w:val="16"/>
                <w:szCs w:val="16"/>
                <w:lang w:eastAsia="hr-HR"/>
              </w:rPr>
            </w:pPr>
            <w:r w:rsidRPr="00BA5803">
              <w:rPr>
                <w:rFonts w:ascii="Arial" w:eastAsia="Times New Roman" w:hAnsi="Arial" w:cs="Arial"/>
                <w:color w:val="000000"/>
                <w:sz w:val="16"/>
                <w:szCs w:val="16"/>
                <w:lang w:eastAsia="hr-HR"/>
              </w:rPr>
              <w:t>1,662</w:t>
            </w:r>
          </w:p>
        </w:tc>
        <w:tc>
          <w:tcPr>
            <w:tcW w:w="1005" w:type="dxa"/>
            <w:tcBorders>
              <w:top w:val="nil"/>
              <w:left w:val="nil"/>
              <w:bottom w:val="single" w:sz="4" w:space="0" w:color="000080"/>
              <w:right w:val="single" w:sz="4" w:space="0" w:color="000080"/>
            </w:tcBorders>
            <w:shd w:val="clear" w:color="auto" w:fill="auto"/>
            <w:noWrap/>
            <w:vAlign w:val="center"/>
            <w:hideMark/>
          </w:tcPr>
          <w:p w:rsidR="00805181" w:rsidRPr="00BA5803" w:rsidRDefault="00805181" w:rsidP="00805181">
            <w:pPr>
              <w:spacing w:after="0" w:line="240" w:lineRule="auto"/>
              <w:jc w:val="right"/>
              <w:rPr>
                <w:rFonts w:ascii="Arial" w:eastAsia="Times New Roman" w:hAnsi="Arial" w:cs="Arial"/>
                <w:color w:val="000000"/>
                <w:sz w:val="16"/>
                <w:szCs w:val="16"/>
                <w:lang w:eastAsia="hr-HR"/>
              </w:rPr>
            </w:pPr>
            <w:r w:rsidRPr="00BA5803">
              <w:rPr>
                <w:rFonts w:ascii="Arial" w:eastAsia="Times New Roman" w:hAnsi="Arial" w:cs="Arial"/>
                <w:color w:val="000000"/>
                <w:sz w:val="16"/>
                <w:szCs w:val="16"/>
                <w:lang w:eastAsia="hr-HR"/>
              </w:rPr>
              <w:t>1,526</w:t>
            </w:r>
          </w:p>
        </w:tc>
      </w:tr>
    </w:tbl>
    <w:p w:rsidR="00655D6E" w:rsidRPr="00FA7F54" w:rsidRDefault="00655D6E" w:rsidP="00C83540">
      <w:pPr>
        <w:shd w:val="clear" w:color="auto" w:fill="FFFFFF"/>
        <w:spacing w:after="0" w:line="240" w:lineRule="auto"/>
        <w:rPr>
          <w:rFonts w:ascii="Times New Roman" w:hAnsi="Times New Roman" w:cs="Times New Roman"/>
        </w:rPr>
      </w:pPr>
    </w:p>
    <w:p w:rsidR="008B7E54" w:rsidRPr="00FA7F54" w:rsidRDefault="00C7051C" w:rsidP="00FC432D">
      <w:pPr>
        <w:shd w:val="clear" w:color="auto" w:fill="FFFFFF"/>
        <w:spacing w:after="0" w:line="240" w:lineRule="auto"/>
        <w:jc w:val="both"/>
        <w:rPr>
          <w:rFonts w:ascii="Times New Roman" w:hAnsi="Times New Roman" w:cs="Times New Roman"/>
        </w:rPr>
      </w:pPr>
      <w:r w:rsidRPr="00FA7F54">
        <w:rPr>
          <w:rFonts w:ascii="Times New Roman" w:hAnsi="Times New Roman" w:cs="Times New Roman"/>
        </w:rPr>
        <w:t>Najveći udio od 63</w:t>
      </w:r>
      <w:r w:rsidR="00933C67">
        <w:rPr>
          <w:rFonts w:ascii="Times New Roman" w:hAnsi="Times New Roman" w:cs="Times New Roman"/>
        </w:rPr>
        <w:t>%</w:t>
      </w:r>
      <w:r w:rsidRPr="00FA7F54">
        <w:rPr>
          <w:rFonts w:ascii="Times New Roman" w:hAnsi="Times New Roman" w:cs="Times New Roman"/>
        </w:rPr>
        <w:t xml:space="preserve"> u tro</w:t>
      </w:r>
      <w:r w:rsidR="00B36314" w:rsidRPr="00FA7F54">
        <w:rPr>
          <w:rFonts w:ascii="Times New Roman" w:hAnsi="Times New Roman" w:cs="Times New Roman"/>
        </w:rPr>
        <w:t>škovima čini uredski materijal</w:t>
      </w:r>
      <w:r w:rsidR="001731A0" w:rsidRPr="00FA7F54">
        <w:rPr>
          <w:rFonts w:ascii="Times New Roman" w:hAnsi="Times New Roman" w:cs="Times New Roman"/>
        </w:rPr>
        <w:t xml:space="preserve"> odnosno tipični</w:t>
      </w:r>
      <w:r w:rsidR="00B36314" w:rsidRPr="00FA7F54">
        <w:rPr>
          <w:rFonts w:ascii="Times New Roman" w:hAnsi="Times New Roman" w:cs="Times New Roman"/>
        </w:rPr>
        <w:t xml:space="preserve"> </w:t>
      </w:r>
      <w:r w:rsidR="008B7E54" w:rsidRPr="00FA7F54">
        <w:rPr>
          <w:rFonts w:ascii="Times New Roman" w:hAnsi="Times New Roman" w:cs="Times New Roman"/>
        </w:rPr>
        <w:t>varijabilni troš</w:t>
      </w:r>
      <w:r w:rsidR="00676A55" w:rsidRPr="00FA7F54">
        <w:rPr>
          <w:rFonts w:ascii="Times New Roman" w:hAnsi="Times New Roman" w:cs="Times New Roman"/>
        </w:rPr>
        <w:t>a</w:t>
      </w:r>
      <w:r w:rsidR="008B7E54" w:rsidRPr="00FA7F54">
        <w:rPr>
          <w:rFonts w:ascii="Times New Roman" w:hAnsi="Times New Roman" w:cs="Times New Roman"/>
        </w:rPr>
        <w:t>k koji se mijenja ovisno o stupnju aktivnosti</w:t>
      </w:r>
      <w:r w:rsidR="000C2DCE" w:rsidRPr="00FA7F54">
        <w:rPr>
          <w:rFonts w:ascii="Times New Roman" w:hAnsi="Times New Roman" w:cs="Times New Roman"/>
        </w:rPr>
        <w:t xml:space="preserve"> samog proračunskog korisnika</w:t>
      </w:r>
      <w:r w:rsidR="00950139" w:rsidRPr="00FA7F54">
        <w:rPr>
          <w:rFonts w:ascii="Times New Roman" w:hAnsi="Times New Roman" w:cs="Times New Roman"/>
        </w:rPr>
        <w:t xml:space="preserve">, </w:t>
      </w:r>
      <w:r w:rsidR="008D5184" w:rsidRPr="00FA7F54">
        <w:rPr>
          <w:rFonts w:ascii="Times New Roman" w:hAnsi="Times New Roman" w:cs="Times New Roman"/>
        </w:rPr>
        <w:t>pa je</w:t>
      </w:r>
      <w:r w:rsidR="00676A55" w:rsidRPr="00FA7F54">
        <w:rPr>
          <w:rFonts w:ascii="Times New Roman" w:hAnsi="Times New Roman" w:cs="Times New Roman"/>
        </w:rPr>
        <w:t xml:space="preserve"> </w:t>
      </w:r>
      <w:r w:rsidR="00950139" w:rsidRPr="00FA7F54">
        <w:rPr>
          <w:rFonts w:ascii="Times New Roman" w:hAnsi="Times New Roman" w:cs="Times New Roman"/>
        </w:rPr>
        <w:t>kod definiranja standardnog troška potreb</w:t>
      </w:r>
      <w:r w:rsidR="008D5184" w:rsidRPr="00FA7F54">
        <w:rPr>
          <w:rFonts w:ascii="Times New Roman" w:hAnsi="Times New Roman" w:cs="Times New Roman"/>
        </w:rPr>
        <w:t>no</w:t>
      </w:r>
      <w:r w:rsidR="00950139" w:rsidRPr="00FA7F54">
        <w:rPr>
          <w:rFonts w:ascii="Times New Roman" w:hAnsi="Times New Roman" w:cs="Times New Roman"/>
        </w:rPr>
        <w:t xml:space="preserve"> voditi računa o</w:t>
      </w:r>
      <w:r w:rsidR="001731A0" w:rsidRPr="00FA7F54">
        <w:rPr>
          <w:rFonts w:ascii="Times New Roman" w:hAnsi="Times New Roman" w:cs="Times New Roman"/>
        </w:rPr>
        <w:t xml:space="preserve"> aktivnostima koje </w:t>
      </w:r>
      <w:r w:rsidR="00B62E2F" w:rsidRPr="00FA7F54">
        <w:rPr>
          <w:rFonts w:ascii="Times New Roman" w:hAnsi="Times New Roman" w:cs="Times New Roman"/>
        </w:rPr>
        <w:t>povećavaju stupanj redovne aktivnosti korisnika</w:t>
      </w:r>
      <w:r w:rsidR="00913CBC">
        <w:rPr>
          <w:rFonts w:ascii="Times New Roman" w:hAnsi="Times New Roman" w:cs="Times New Roman"/>
        </w:rPr>
        <w:t xml:space="preserve"> primjerice broj (izlaznih) predmeta.</w:t>
      </w:r>
      <w:r w:rsidR="000C2DCE" w:rsidRPr="00FA7F54">
        <w:rPr>
          <w:rFonts w:ascii="Times New Roman" w:hAnsi="Times New Roman" w:cs="Times New Roman"/>
        </w:rPr>
        <w:t xml:space="preserve"> </w:t>
      </w:r>
      <w:r w:rsidR="0071366F" w:rsidRPr="00FA7F54">
        <w:rPr>
          <w:rFonts w:ascii="Times New Roman" w:hAnsi="Times New Roman" w:cs="Times New Roman"/>
        </w:rPr>
        <w:t xml:space="preserve">Također, materijal i sredstva za čišćenje i održavanje izravno ovise o </w:t>
      </w:r>
      <w:r w:rsidR="00C2324B" w:rsidRPr="00FA7F54">
        <w:rPr>
          <w:rFonts w:ascii="Times New Roman" w:hAnsi="Times New Roman" w:cs="Times New Roman"/>
        </w:rPr>
        <w:t>površini koja se održava</w:t>
      </w:r>
      <w:r w:rsidR="00191AC5">
        <w:rPr>
          <w:rFonts w:ascii="Times New Roman" w:hAnsi="Times New Roman" w:cs="Times New Roman"/>
        </w:rPr>
        <w:t xml:space="preserve"> zbog čega je potrebno uzeti u obzir uvećani broj kva</w:t>
      </w:r>
      <w:r w:rsidR="00AD7780">
        <w:rPr>
          <w:rFonts w:ascii="Times New Roman" w:hAnsi="Times New Roman" w:cs="Times New Roman"/>
        </w:rPr>
        <w:t>dratnih metara koji se održava</w:t>
      </w:r>
      <w:r w:rsidR="003F4A8D">
        <w:rPr>
          <w:rFonts w:ascii="Times New Roman" w:hAnsi="Times New Roman" w:cs="Times New Roman"/>
        </w:rPr>
        <w:t>.</w:t>
      </w:r>
    </w:p>
    <w:p w:rsidR="00423C9B" w:rsidRPr="00FA7F54" w:rsidRDefault="00423C9B" w:rsidP="00FC432D">
      <w:pPr>
        <w:shd w:val="clear" w:color="auto" w:fill="FFFFFF"/>
        <w:spacing w:after="0" w:line="240" w:lineRule="auto"/>
        <w:jc w:val="both"/>
        <w:rPr>
          <w:rFonts w:ascii="Times New Roman" w:hAnsi="Times New Roman" w:cs="Times New Roman"/>
        </w:rPr>
      </w:pPr>
    </w:p>
    <w:p w:rsidR="00423C9B" w:rsidRPr="00ED74DA" w:rsidRDefault="00423C9B" w:rsidP="00CA4C2C">
      <w:pPr>
        <w:shd w:val="clear" w:color="auto" w:fill="FFFFFF"/>
        <w:spacing w:after="0" w:line="240" w:lineRule="auto"/>
        <w:ind w:firstLine="360"/>
        <w:jc w:val="both"/>
        <w:rPr>
          <w:rFonts w:ascii="Times New Roman" w:hAnsi="Times New Roman" w:cs="Times New Roman"/>
          <w:u w:val="single"/>
        </w:rPr>
      </w:pPr>
      <w:r w:rsidRPr="00FA7F54">
        <w:rPr>
          <w:rFonts w:ascii="Times New Roman" w:hAnsi="Times New Roman" w:cs="Times New Roman"/>
          <w:u w:val="single"/>
        </w:rPr>
        <w:t>Mjere za smanjenje odnosno optimizaciju rash</w:t>
      </w:r>
      <w:r w:rsidR="00ED74DA">
        <w:rPr>
          <w:rFonts w:ascii="Times New Roman" w:hAnsi="Times New Roman" w:cs="Times New Roman"/>
          <w:u w:val="single"/>
        </w:rPr>
        <w:t>oda:</w:t>
      </w:r>
    </w:p>
    <w:p w:rsidR="00C64D76" w:rsidRPr="00821730" w:rsidRDefault="00C64D76" w:rsidP="00CA4C2C">
      <w:pPr>
        <w:pStyle w:val="Odlomakpopisa"/>
        <w:numPr>
          <w:ilvl w:val="0"/>
          <w:numId w:val="21"/>
        </w:numPr>
        <w:shd w:val="clear" w:color="auto" w:fill="FFFFFF"/>
        <w:spacing w:after="0" w:line="240" w:lineRule="auto"/>
        <w:jc w:val="both"/>
        <w:rPr>
          <w:rFonts w:ascii="Times New Roman" w:hAnsi="Times New Roman" w:cs="Times New Roman"/>
        </w:rPr>
      </w:pPr>
      <w:r w:rsidRPr="00821730">
        <w:rPr>
          <w:rFonts w:ascii="Times New Roman" w:hAnsi="Times New Roman" w:cs="Times New Roman"/>
        </w:rPr>
        <w:t>Optimizacija/standardizacija proizvoda i usluga i ostvarivanja ušteda u javnoj potrošnji  kroz učinkoviti sustav središnje javne nabave</w:t>
      </w:r>
      <w:r w:rsidR="00BC6660">
        <w:rPr>
          <w:rFonts w:ascii="Times New Roman" w:hAnsi="Times New Roman" w:cs="Times New Roman"/>
        </w:rPr>
        <w:t>.</w:t>
      </w:r>
      <w:r w:rsidRPr="00821730">
        <w:rPr>
          <w:rFonts w:ascii="Times New Roman" w:hAnsi="Times New Roman" w:cs="Times New Roman"/>
        </w:rPr>
        <w:t xml:space="preserve"> </w:t>
      </w:r>
    </w:p>
    <w:p w:rsidR="007F1F18" w:rsidRPr="00821730" w:rsidRDefault="004F23FB" w:rsidP="00CA4C2C">
      <w:pPr>
        <w:shd w:val="clear" w:color="auto" w:fill="FFFFFF"/>
        <w:spacing w:after="0" w:line="240" w:lineRule="auto"/>
        <w:jc w:val="both"/>
        <w:rPr>
          <w:rFonts w:ascii="Times New Roman" w:eastAsia="Times New Roman" w:hAnsi="Times New Roman" w:cs="Times New Roman"/>
          <w:bCs/>
          <w:color w:val="000000"/>
          <w:lang w:eastAsia="hr-HR"/>
        </w:rPr>
      </w:pPr>
      <w:r w:rsidRPr="00821730">
        <w:rPr>
          <w:rFonts w:ascii="Times New Roman" w:hAnsi="Times New Roman" w:cs="Times New Roman"/>
        </w:rPr>
        <w:t xml:space="preserve">Sukladno Uredbi o unutarnjem ustrojstvu Državnog ureda </w:t>
      </w:r>
      <w:r w:rsidR="00933C67">
        <w:rPr>
          <w:rFonts w:ascii="Times New Roman" w:hAnsi="Times New Roman" w:cs="Times New Roman"/>
        </w:rPr>
        <w:t xml:space="preserve">za središnju javnu nabavu, </w:t>
      </w:r>
      <w:r w:rsidRPr="00821730">
        <w:rPr>
          <w:rFonts w:ascii="Times New Roman" w:hAnsi="Times New Roman" w:cs="Times New Roman"/>
        </w:rPr>
        <w:t xml:space="preserve">obveznici središnje javne nabave su u pravilu 34 tijela državne uprave za 17 nabavnih kategorija. U tijeku je postupak nabave </w:t>
      </w:r>
      <w:r w:rsidRPr="00821730">
        <w:rPr>
          <w:rFonts w:ascii="Times New Roman" w:eastAsia="Times New Roman" w:hAnsi="Times New Roman" w:cs="Times New Roman"/>
          <w:color w:val="000000"/>
          <w:lang w:eastAsia="hr-HR"/>
        </w:rPr>
        <w:t>uredskog potrošnog materijala</w:t>
      </w:r>
      <w:r w:rsidR="001B6169" w:rsidRPr="00821730">
        <w:rPr>
          <w:rFonts w:ascii="Times New Roman" w:eastAsia="Times New Roman" w:hAnsi="Times New Roman" w:cs="Times New Roman"/>
          <w:color w:val="000000"/>
          <w:lang w:eastAsia="hr-HR"/>
        </w:rPr>
        <w:t xml:space="preserve"> u iznosu 32,5 mil. kuna bez PDV-a</w:t>
      </w:r>
      <w:r w:rsidRPr="00821730">
        <w:rPr>
          <w:rFonts w:ascii="Times New Roman" w:eastAsia="Times New Roman" w:hAnsi="Times New Roman" w:cs="Times New Roman"/>
          <w:color w:val="000000"/>
          <w:lang w:eastAsia="hr-HR"/>
        </w:rPr>
        <w:t xml:space="preserve"> </w:t>
      </w:r>
      <w:r w:rsidR="00D10176" w:rsidRPr="00821730">
        <w:rPr>
          <w:rFonts w:ascii="Times New Roman" w:eastAsia="Times New Roman" w:hAnsi="Times New Roman" w:cs="Times New Roman"/>
          <w:color w:val="000000"/>
          <w:lang w:eastAsia="hr-HR"/>
        </w:rPr>
        <w:t>(u pripremi je još 18,3 mil.</w:t>
      </w:r>
      <w:r w:rsidR="00933C67">
        <w:rPr>
          <w:rFonts w:ascii="Times New Roman" w:eastAsia="Times New Roman" w:hAnsi="Times New Roman" w:cs="Times New Roman"/>
          <w:color w:val="000000"/>
          <w:lang w:eastAsia="hr-HR"/>
        </w:rPr>
        <w:t xml:space="preserve"> kuna</w:t>
      </w:r>
      <w:r w:rsidR="00D10176" w:rsidRPr="00821730">
        <w:rPr>
          <w:rFonts w:ascii="Times New Roman" w:eastAsia="Times New Roman" w:hAnsi="Times New Roman" w:cs="Times New Roman"/>
          <w:color w:val="000000"/>
          <w:lang w:eastAsia="hr-HR"/>
        </w:rPr>
        <w:t xml:space="preserve">) </w:t>
      </w:r>
      <w:r w:rsidRPr="00821730">
        <w:rPr>
          <w:rFonts w:ascii="Times New Roman" w:eastAsia="Times New Roman" w:hAnsi="Times New Roman" w:cs="Times New Roman"/>
          <w:color w:val="000000"/>
          <w:lang w:eastAsia="hr-HR"/>
        </w:rPr>
        <w:t>za koji se planira uvođenje standardizacije i smanjenje broja artikala</w:t>
      </w:r>
      <w:r w:rsidR="0059369C" w:rsidRPr="00821730">
        <w:rPr>
          <w:rFonts w:ascii="Times New Roman" w:eastAsia="Times New Roman" w:hAnsi="Times New Roman" w:cs="Times New Roman"/>
          <w:color w:val="000000"/>
          <w:lang w:eastAsia="hr-HR"/>
        </w:rPr>
        <w:t xml:space="preserve"> te se očekuje 20</w:t>
      </w:r>
      <w:r w:rsidR="00933C67">
        <w:rPr>
          <w:rFonts w:ascii="Times New Roman" w:eastAsia="Times New Roman" w:hAnsi="Times New Roman" w:cs="Times New Roman"/>
          <w:color w:val="000000"/>
          <w:lang w:eastAsia="hr-HR"/>
        </w:rPr>
        <w:t>%</w:t>
      </w:r>
      <w:r w:rsidR="0059369C" w:rsidRPr="00821730">
        <w:rPr>
          <w:rFonts w:ascii="Times New Roman" w:eastAsia="Times New Roman" w:hAnsi="Times New Roman" w:cs="Times New Roman"/>
          <w:bCs/>
          <w:color w:val="000000"/>
          <w:lang w:eastAsia="hr-HR"/>
        </w:rPr>
        <w:t xml:space="preserve"> uštede u odnosu na procijenjenu vrijednost.</w:t>
      </w:r>
      <w:r w:rsidR="007F1F18" w:rsidRPr="00821730">
        <w:rPr>
          <w:rFonts w:ascii="Times New Roman" w:eastAsia="Times New Roman" w:hAnsi="Times New Roman" w:cs="Times New Roman"/>
          <w:bCs/>
          <w:color w:val="000000"/>
          <w:lang w:eastAsia="hr-HR"/>
        </w:rPr>
        <w:t xml:space="preserve"> </w:t>
      </w:r>
      <w:r w:rsidR="00B15DAB" w:rsidRPr="00821730">
        <w:rPr>
          <w:rFonts w:ascii="Times New Roman" w:eastAsia="Times New Roman" w:hAnsi="Times New Roman" w:cs="Times New Roman"/>
          <w:color w:val="000000"/>
          <w:lang w:eastAsia="hr-HR"/>
        </w:rPr>
        <w:t>Također, u pripremi je</w:t>
      </w:r>
      <w:r w:rsidR="007F1F18" w:rsidRPr="00821730">
        <w:rPr>
          <w:rFonts w:ascii="Times New Roman" w:eastAsia="Times New Roman" w:hAnsi="Times New Roman" w:cs="Times New Roman"/>
          <w:color w:val="000000"/>
          <w:lang w:eastAsia="hr-HR"/>
        </w:rPr>
        <w:t xml:space="preserve">: </w:t>
      </w:r>
    </w:p>
    <w:p w:rsidR="007F1F18" w:rsidRPr="008378FF" w:rsidRDefault="007F1F18" w:rsidP="008378FF">
      <w:pPr>
        <w:pStyle w:val="Odlomakpopisa"/>
        <w:numPr>
          <w:ilvl w:val="0"/>
          <w:numId w:val="40"/>
        </w:numPr>
        <w:shd w:val="clear" w:color="auto" w:fill="FFFFFF"/>
        <w:spacing w:after="0" w:line="240" w:lineRule="auto"/>
        <w:jc w:val="both"/>
        <w:rPr>
          <w:rFonts w:ascii="Times New Roman" w:eastAsia="Times New Roman" w:hAnsi="Times New Roman" w:cs="Times New Roman"/>
          <w:color w:val="000000"/>
          <w:lang w:eastAsia="hr-HR"/>
        </w:rPr>
      </w:pPr>
      <w:r w:rsidRPr="008378FF">
        <w:rPr>
          <w:rFonts w:ascii="Times New Roman" w:eastAsia="Times New Roman" w:hAnsi="Times New Roman" w:cs="Times New Roman"/>
          <w:color w:val="000000"/>
          <w:lang w:eastAsia="hr-HR"/>
        </w:rPr>
        <w:t>nabava tonera i tinti u iznosu 55 mil. kuna bez PDV-a te se očekuje 15</w:t>
      </w:r>
      <w:r w:rsidR="00933C67">
        <w:rPr>
          <w:rFonts w:ascii="Times New Roman" w:eastAsia="Times New Roman" w:hAnsi="Times New Roman" w:cs="Times New Roman"/>
          <w:color w:val="000000"/>
          <w:lang w:eastAsia="hr-HR"/>
        </w:rPr>
        <w:t>%</w:t>
      </w:r>
      <w:r w:rsidRPr="008378FF">
        <w:rPr>
          <w:rFonts w:ascii="Times New Roman" w:eastAsia="Times New Roman" w:hAnsi="Times New Roman" w:cs="Times New Roman"/>
          <w:bCs/>
          <w:color w:val="000000"/>
          <w:lang w:eastAsia="hr-HR"/>
        </w:rPr>
        <w:t xml:space="preserve"> uštede u odnosu na procijenjenu vrijednost. </w:t>
      </w:r>
      <w:r w:rsidRPr="008378FF">
        <w:rPr>
          <w:rFonts w:ascii="Times New Roman" w:eastAsia="Times New Roman" w:hAnsi="Times New Roman" w:cs="Times New Roman"/>
          <w:color w:val="000000"/>
          <w:lang w:eastAsia="hr-HR"/>
        </w:rPr>
        <w:t xml:space="preserve"> </w:t>
      </w:r>
    </w:p>
    <w:p w:rsidR="005F27F4" w:rsidRPr="008378FF" w:rsidRDefault="00B15DAB" w:rsidP="008378FF">
      <w:pPr>
        <w:pStyle w:val="Odlomakpopisa"/>
        <w:numPr>
          <w:ilvl w:val="0"/>
          <w:numId w:val="40"/>
        </w:numPr>
        <w:shd w:val="clear" w:color="auto" w:fill="FFFFFF"/>
        <w:spacing w:after="0" w:line="240" w:lineRule="auto"/>
        <w:jc w:val="both"/>
        <w:rPr>
          <w:rFonts w:ascii="Times New Roman" w:eastAsia="Times New Roman" w:hAnsi="Times New Roman" w:cs="Times New Roman"/>
          <w:color w:val="000000"/>
          <w:lang w:eastAsia="hr-HR"/>
        </w:rPr>
      </w:pPr>
      <w:r w:rsidRPr="008378FF">
        <w:rPr>
          <w:rFonts w:ascii="Times New Roman" w:eastAsia="Times New Roman" w:hAnsi="Times New Roman" w:cs="Times New Roman"/>
          <w:color w:val="000000"/>
          <w:lang w:eastAsia="hr-HR"/>
        </w:rPr>
        <w:t>pilot projekt uvođenja kategorizacije te smanjenja potrošnje uredskog materijala, tonera i tinti kao i troškova tekućeg održavanja.</w:t>
      </w:r>
    </w:p>
    <w:p w:rsidR="00E72E4E" w:rsidRDefault="00423C9B" w:rsidP="00CA4C2C">
      <w:pPr>
        <w:pStyle w:val="Odlomakpopisa"/>
        <w:numPr>
          <w:ilvl w:val="0"/>
          <w:numId w:val="21"/>
        </w:numPr>
        <w:spacing w:line="240" w:lineRule="auto"/>
        <w:ind w:left="0" w:firstLine="426"/>
        <w:jc w:val="both"/>
        <w:rPr>
          <w:rFonts w:ascii="Times New Roman" w:hAnsi="Times New Roman" w:cs="Times New Roman"/>
        </w:rPr>
      </w:pPr>
      <w:r w:rsidRPr="008C0197">
        <w:rPr>
          <w:rFonts w:ascii="Times New Roman" w:hAnsi="Times New Roman" w:cs="Times New Roman"/>
        </w:rPr>
        <w:t xml:space="preserve">Procjena </w:t>
      </w:r>
      <w:r w:rsidRPr="008C0197">
        <w:rPr>
          <w:rFonts w:ascii="Times New Roman" w:eastAsia="Times New Roman" w:hAnsi="Times New Roman"/>
          <w:lang w:eastAsia="hr-HR"/>
        </w:rPr>
        <w:t>učinkovitog i djelotvornog funkcioniranja sustava financijskog upravljanja i kontrola</w:t>
      </w:r>
      <w:r w:rsidRPr="008C0197">
        <w:rPr>
          <w:rFonts w:ascii="Times New Roman" w:hAnsi="Times New Roman" w:cs="Times New Roman"/>
        </w:rPr>
        <w:t xml:space="preserve">: izračun prosječnih troškova za </w:t>
      </w:r>
      <w:r w:rsidR="00327A6A" w:rsidRPr="008C0197">
        <w:rPr>
          <w:rFonts w:ascii="Times New Roman" w:hAnsi="Times New Roman" w:cs="Times New Roman"/>
        </w:rPr>
        <w:t>uredski materijal</w:t>
      </w:r>
      <w:r w:rsidR="00C90564" w:rsidRPr="008C0197">
        <w:rPr>
          <w:rFonts w:ascii="Times New Roman" w:hAnsi="Times New Roman" w:cs="Times New Roman"/>
        </w:rPr>
        <w:t xml:space="preserve">, izračun prosječnih troškova </w:t>
      </w:r>
      <w:r w:rsidR="0091617B">
        <w:rPr>
          <w:rFonts w:ascii="Times New Roman" w:hAnsi="Times New Roman" w:cs="Times New Roman"/>
        </w:rPr>
        <w:t>(</w:t>
      </w:r>
      <w:r w:rsidR="00C90564" w:rsidRPr="008C0197">
        <w:rPr>
          <w:rFonts w:ascii="Times New Roman" w:hAnsi="Times New Roman" w:cs="Times New Roman"/>
        </w:rPr>
        <w:t>prema vrsti najznačajnijih stavki</w:t>
      </w:r>
      <w:r w:rsidR="0091617B">
        <w:rPr>
          <w:rFonts w:ascii="Times New Roman" w:hAnsi="Times New Roman" w:cs="Times New Roman"/>
        </w:rPr>
        <w:t>)</w:t>
      </w:r>
      <w:bookmarkStart w:id="40" w:name="_GoBack"/>
      <w:bookmarkEnd w:id="40"/>
      <w:r w:rsidR="00C90564" w:rsidRPr="008C0197">
        <w:rPr>
          <w:rFonts w:ascii="Times New Roman" w:hAnsi="Times New Roman" w:cs="Times New Roman"/>
        </w:rPr>
        <w:t xml:space="preserve"> uredskog materijala </w:t>
      </w:r>
      <w:r w:rsidRPr="008C0197">
        <w:rPr>
          <w:rFonts w:ascii="Times New Roman" w:hAnsi="Times New Roman" w:cs="Times New Roman"/>
        </w:rPr>
        <w:t>po</w:t>
      </w:r>
      <w:r w:rsidR="00327A6A" w:rsidRPr="008C0197">
        <w:rPr>
          <w:rFonts w:ascii="Times New Roman" w:hAnsi="Times New Roman" w:cs="Times New Roman"/>
        </w:rPr>
        <w:t xml:space="preserve"> zaposlenom</w:t>
      </w:r>
      <w:r w:rsidRPr="008C0197">
        <w:rPr>
          <w:rFonts w:ascii="Times New Roman" w:hAnsi="Times New Roman" w:cs="Times New Roman"/>
        </w:rPr>
        <w:t>.</w:t>
      </w:r>
    </w:p>
    <w:p w:rsidR="005F4D4D" w:rsidRPr="006B7B79" w:rsidRDefault="0016236A" w:rsidP="006B7B79">
      <w:pPr>
        <w:pStyle w:val="Opisslike"/>
        <w:spacing w:after="0"/>
        <w:jc w:val="both"/>
        <w:rPr>
          <w:rFonts w:ascii="Times New Roman" w:hAnsi="Times New Roman" w:cs="Times New Roman"/>
          <w:sz w:val="20"/>
          <w:szCs w:val="20"/>
        </w:rPr>
      </w:pPr>
      <w:bookmarkStart w:id="41" w:name="_Toc436402265"/>
      <w:r w:rsidRPr="006B7B79">
        <w:rPr>
          <w:rFonts w:ascii="Times New Roman" w:hAnsi="Times New Roman" w:cs="Times New Roman"/>
          <w:sz w:val="20"/>
          <w:szCs w:val="20"/>
        </w:rPr>
        <w:lastRenderedPageBreak/>
        <w:t>Tabela</w:t>
      </w:r>
      <w:r w:rsidRPr="006B7B79">
        <w:rPr>
          <w:rFonts w:ascii="Times New Roman" w:hAnsi="Times New Roman" w:cs="Times New Roman"/>
        </w:rPr>
        <w:t xml:space="preserve"> </w:t>
      </w:r>
      <w:r w:rsidR="00074A4A" w:rsidRPr="006B7B79">
        <w:rPr>
          <w:rFonts w:ascii="Times New Roman" w:hAnsi="Times New Roman" w:cs="Times New Roman"/>
        </w:rPr>
        <w:fldChar w:fldCharType="begin"/>
      </w:r>
      <w:r w:rsidR="00074A4A" w:rsidRPr="006B7B79">
        <w:rPr>
          <w:rFonts w:ascii="Times New Roman" w:hAnsi="Times New Roman" w:cs="Times New Roman"/>
        </w:rPr>
        <w:instrText xml:space="preserve"> SEQ Tabela \* ARABIC </w:instrText>
      </w:r>
      <w:r w:rsidR="00074A4A" w:rsidRPr="006B7B79">
        <w:rPr>
          <w:rFonts w:ascii="Times New Roman" w:hAnsi="Times New Roman" w:cs="Times New Roman"/>
        </w:rPr>
        <w:fldChar w:fldCharType="separate"/>
      </w:r>
      <w:r w:rsidR="00F50808">
        <w:rPr>
          <w:rFonts w:ascii="Times New Roman" w:hAnsi="Times New Roman" w:cs="Times New Roman"/>
          <w:noProof/>
        </w:rPr>
        <w:t>18</w:t>
      </w:r>
      <w:r w:rsidR="00074A4A" w:rsidRPr="006B7B79">
        <w:rPr>
          <w:rFonts w:ascii="Times New Roman" w:hAnsi="Times New Roman" w:cs="Times New Roman"/>
          <w:noProof/>
        </w:rPr>
        <w:fldChar w:fldCharType="end"/>
      </w:r>
      <w:r w:rsidR="005F4D4D" w:rsidRPr="006B7B79">
        <w:rPr>
          <w:rFonts w:ascii="Times New Roman" w:hAnsi="Times New Roman" w:cs="Times New Roman"/>
          <w:sz w:val="20"/>
          <w:szCs w:val="20"/>
        </w:rPr>
        <w:t>: Uredski materijal (3221) prema podacima Državnog ureda za središnju javnu nabavu – procjena potrošnje</w:t>
      </w:r>
      <w:r w:rsidR="00072CB6" w:rsidRPr="006B7B79">
        <w:rPr>
          <w:rFonts w:ascii="Times New Roman" w:hAnsi="Times New Roman" w:cs="Times New Roman"/>
          <w:sz w:val="20"/>
          <w:szCs w:val="20"/>
        </w:rPr>
        <w:t xml:space="preserve"> u</w:t>
      </w:r>
      <w:r w:rsidR="005F4D4D" w:rsidRPr="006B7B79">
        <w:rPr>
          <w:rFonts w:ascii="Times New Roman" w:hAnsi="Times New Roman" w:cs="Times New Roman"/>
          <w:sz w:val="20"/>
          <w:szCs w:val="20"/>
        </w:rPr>
        <w:t xml:space="preserve"> 2015</w:t>
      </w:r>
      <w:r w:rsidR="00072CB6" w:rsidRPr="006B7B79">
        <w:rPr>
          <w:rFonts w:ascii="Times New Roman" w:hAnsi="Times New Roman" w:cs="Times New Roman"/>
          <w:sz w:val="20"/>
          <w:szCs w:val="20"/>
        </w:rPr>
        <w:t>.</w:t>
      </w:r>
      <w:r w:rsidR="005F4D4D" w:rsidRPr="006B7B79">
        <w:rPr>
          <w:rFonts w:ascii="Times New Roman" w:hAnsi="Times New Roman" w:cs="Times New Roman"/>
          <w:sz w:val="20"/>
          <w:szCs w:val="20"/>
        </w:rPr>
        <w:t xml:space="preserve"> za tijela izvršne vlasti – VRH, HS, ministarstva, državni uredi, državne upravne organizacije  (u kn, bez PDV-a)</w:t>
      </w:r>
      <w:bookmarkEnd w:id="41"/>
    </w:p>
    <w:tbl>
      <w:tblPr>
        <w:tblW w:w="9072" w:type="dxa"/>
        <w:tblInd w:w="-5" w:type="dxa"/>
        <w:tblLayout w:type="fixed"/>
        <w:tblLook w:val="04A0" w:firstRow="1" w:lastRow="0" w:firstColumn="1" w:lastColumn="0" w:noHBand="0" w:noVBand="1"/>
      </w:tblPr>
      <w:tblGrid>
        <w:gridCol w:w="1843"/>
        <w:gridCol w:w="1559"/>
        <w:gridCol w:w="1417"/>
        <w:gridCol w:w="1418"/>
        <w:gridCol w:w="1417"/>
        <w:gridCol w:w="1418"/>
      </w:tblGrid>
      <w:tr w:rsidR="005F4D4D" w:rsidRPr="00F573B6" w:rsidTr="00E12569">
        <w:trPr>
          <w:trHeight w:val="900"/>
        </w:trPr>
        <w:tc>
          <w:tcPr>
            <w:tcW w:w="1843" w:type="dxa"/>
            <w:tcBorders>
              <w:top w:val="single" w:sz="4" w:space="0" w:color="000080"/>
              <w:left w:val="single" w:sz="4" w:space="0" w:color="000080"/>
              <w:bottom w:val="single" w:sz="4" w:space="0" w:color="000080"/>
              <w:right w:val="single" w:sz="4" w:space="0" w:color="000080"/>
            </w:tcBorders>
            <w:shd w:val="clear" w:color="auto" w:fill="DCE6F1"/>
            <w:vAlign w:val="center"/>
            <w:hideMark/>
          </w:tcPr>
          <w:p w:rsidR="005F4D4D" w:rsidRPr="00F573B6" w:rsidRDefault="005F4D4D" w:rsidP="005F4D4D">
            <w:pPr>
              <w:spacing w:after="0" w:line="240" w:lineRule="auto"/>
              <w:rPr>
                <w:rFonts w:ascii="Times New Roman" w:eastAsia="Times New Roman" w:hAnsi="Times New Roman" w:cs="Times New Roman"/>
                <w:b/>
                <w:bCs/>
                <w:sz w:val="16"/>
                <w:szCs w:val="16"/>
                <w:lang w:eastAsia="hr-HR"/>
              </w:rPr>
            </w:pPr>
            <w:r w:rsidRPr="00F573B6">
              <w:rPr>
                <w:rFonts w:ascii="Times New Roman" w:eastAsia="Times New Roman" w:hAnsi="Times New Roman" w:cs="Times New Roman"/>
                <w:b/>
                <w:bCs/>
                <w:sz w:val="16"/>
                <w:szCs w:val="16"/>
                <w:lang w:eastAsia="hr-HR"/>
              </w:rPr>
              <w:t xml:space="preserve">Procjena potrošnje uredskog materijala </w:t>
            </w:r>
          </w:p>
        </w:tc>
        <w:tc>
          <w:tcPr>
            <w:tcW w:w="1559" w:type="dxa"/>
            <w:tcBorders>
              <w:top w:val="single" w:sz="4" w:space="0" w:color="000080"/>
              <w:left w:val="nil"/>
              <w:bottom w:val="single" w:sz="4" w:space="0" w:color="000080"/>
              <w:right w:val="single" w:sz="4" w:space="0" w:color="000080"/>
            </w:tcBorders>
            <w:shd w:val="clear" w:color="auto" w:fill="DCE6F1"/>
            <w:vAlign w:val="center"/>
            <w:hideMark/>
          </w:tcPr>
          <w:p w:rsidR="005F4D4D" w:rsidRPr="00F573B6" w:rsidRDefault="005F4D4D" w:rsidP="005F4D4D">
            <w:pPr>
              <w:spacing w:after="0" w:line="240" w:lineRule="auto"/>
              <w:rPr>
                <w:rFonts w:ascii="Times New Roman" w:eastAsia="Times New Roman" w:hAnsi="Times New Roman" w:cs="Times New Roman"/>
                <w:sz w:val="16"/>
                <w:szCs w:val="16"/>
                <w:lang w:eastAsia="hr-HR"/>
              </w:rPr>
            </w:pPr>
            <w:r w:rsidRPr="00F573B6">
              <w:rPr>
                <w:rFonts w:ascii="Times New Roman" w:eastAsia="Times New Roman" w:hAnsi="Times New Roman" w:cs="Times New Roman"/>
                <w:sz w:val="16"/>
                <w:szCs w:val="16"/>
                <w:lang w:eastAsia="hr-HR"/>
              </w:rPr>
              <w:t>I  Uredski materijal – papir*</w:t>
            </w:r>
          </w:p>
        </w:tc>
        <w:tc>
          <w:tcPr>
            <w:tcW w:w="1417" w:type="dxa"/>
            <w:tcBorders>
              <w:top w:val="single" w:sz="4" w:space="0" w:color="000080"/>
              <w:left w:val="nil"/>
              <w:bottom w:val="single" w:sz="4" w:space="0" w:color="000080"/>
              <w:right w:val="single" w:sz="4" w:space="0" w:color="000080"/>
            </w:tcBorders>
            <w:shd w:val="clear" w:color="auto" w:fill="DCE6F1"/>
            <w:vAlign w:val="center"/>
            <w:hideMark/>
          </w:tcPr>
          <w:p w:rsidR="005F4D4D" w:rsidRPr="00F573B6" w:rsidRDefault="005F4D4D" w:rsidP="005F4D4D">
            <w:pPr>
              <w:spacing w:after="0" w:line="240" w:lineRule="auto"/>
              <w:rPr>
                <w:rFonts w:ascii="Times New Roman" w:eastAsia="Times New Roman" w:hAnsi="Times New Roman" w:cs="Times New Roman"/>
                <w:sz w:val="16"/>
                <w:szCs w:val="16"/>
                <w:lang w:eastAsia="hr-HR"/>
              </w:rPr>
            </w:pPr>
            <w:r w:rsidRPr="00F573B6">
              <w:rPr>
                <w:rFonts w:ascii="Times New Roman" w:eastAsia="Times New Roman" w:hAnsi="Times New Roman" w:cs="Times New Roman"/>
                <w:sz w:val="16"/>
                <w:szCs w:val="16"/>
                <w:lang w:eastAsia="hr-HR"/>
              </w:rPr>
              <w:t>II Uredski materijal - tiskanice</w:t>
            </w:r>
          </w:p>
        </w:tc>
        <w:tc>
          <w:tcPr>
            <w:tcW w:w="1418" w:type="dxa"/>
            <w:tcBorders>
              <w:top w:val="single" w:sz="4" w:space="0" w:color="000080"/>
              <w:left w:val="nil"/>
              <w:bottom w:val="single" w:sz="4" w:space="0" w:color="000080"/>
              <w:right w:val="single" w:sz="4" w:space="0" w:color="000080"/>
            </w:tcBorders>
            <w:shd w:val="clear" w:color="auto" w:fill="DCE6F1"/>
            <w:vAlign w:val="center"/>
            <w:hideMark/>
          </w:tcPr>
          <w:p w:rsidR="005F4D4D" w:rsidRPr="00F573B6" w:rsidRDefault="005F4D4D" w:rsidP="005F4D4D">
            <w:pPr>
              <w:spacing w:after="0" w:line="240" w:lineRule="auto"/>
              <w:rPr>
                <w:rFonts w:ascii="Times New Roman" w:eastAsia="Times New Roman" w:hAnsi="Times New Roman" w:cs="Times New Roman"/>
                <w:sz w:val="16"/>
                <w:szCs w:val="16"/>
                <w:lang w:eastAsia="hr-HR"/>
              </w:rPr>
            </w:pPr>
            <w:r w:rsidRPr="00F573B6">
              <w:rPr>
                <w:rFonts w:ascii="Times New Roman" w:eastAsia="Times New Roman" w:hAnsi="Times New Roman" w:cs="Times New Roman"/>
                <w:sz w:val="16"/>
                <w:szCs w:val="16"/>
                <w:lang w:eastAsia="hr-HR"/>
              </w:rPr>
              <w:t>III Uredski materijal – odlaganje, arhiviranje, papirnati artikli**</w:t>
            </w:r>
          </w:p>
        </w:tc>
        <w:tc>
          <w:tcPr>
            <w:tcW w:w="1417" w:type="dxa"/>
            <w:tcBorders>
              <w:top w:val="single" w:sz="4" w:space="0" w:color="000080"/>
              <w:left w:val="nil"/>
              <w:bottom w:val="single" w:sz="4" w:space="0" w:color="000080"/>
              <w:right w:val="single" w:sz="4" w:space="0" w:color="000080"/>
            </w:tcBorders>
            <w:shd w:val="clear" w:color="auto" w:fill="DCE6F1"/>
            <w:vAlign w:val="center"/>
            <w:hideMark/>
          </w:tcPr>
          <w:p w:rsidR="005F4D4D" w:rsidRPr="00F573B6" w:rsidRDefault="005F4D4D" w:rsidP="005F4D4D">
            <w:pPr>
              <w:spacing w:after="0" w:line="240" w:lineRule="auto"/>
              <w:rPr>
                <w:rFonts w:ascii="Times New Roman" w:eastAsia="Times New Roman" w:hAnsi="Times New Roman" w:cs="Times New Roman"/>
                <w:sz w:val="16"/>
                <w:szCs w:val="16"/>
                <w:lang w:eastAsia="hr-HR"/>
              </w:rPr>
            </w:pPr>
            <w:r w:rsidRPr="00F573B6">
              <w:rPr>
                <w:rFonts w:ascii="Times New Roman" w:eastAsia="Times New Roman" w:hAnsi="Times New Roman" w:cs="Times New Roman"/>
                <w:sz w:val="16"/>
                <w:szCs w:val="16"/>
                <w:lang w:eastAsia="hr-HR"/>
              </w:rPr>
              <w:t>IV Uredski materijal – kuverte i vrećice za otpremu</w:t>
            </w:r>
          </w:p>
        </w:tc>
        <w:tc>
          <w:tcPr>
            <w:tcW w:w="1418" w:type="dxa"/>
            <w:tcBorders>
              <w:top w:val="single" w:sz="4" w:space="0" w:color="000080"/>
              <w:left w:val="nil"/>
              <w:bottom w:val="single" w:sz="4" w:space="0" w:color="000080"/>
              <w:right w:val="single" w:sz="4" w:space="0" w:color="000080"/>
            </w:tcBorders>
            <w:shd w:val="clear" w:color="auto" w:fill="DCE6F1"/>
            <w:vAlign w:val="center"/>
            <w:hideMark/>
          </w:tcPr>
          <w:p w:rsidR="005F4D4D" w:rsidRPr="00F573B6" w:rsidRDefault="005F4D4D" w:rsidP="005F4D4D">
            <w:pPr>
              <w:spacing w:after="0" w:line="240" w:lineRule="auto"/>
              <w:rPr>
                <w:rFonts w:ascii="Times New Roman" w:eastAsia="Times New Roman" w:hAnsi="Times New Roman" w:cs="Times New Roman"/>
                <w:sz w:val="16"/>
                <w:szCs w:val="16"/>
                <w:lang w:eastAsia="hr-HR"/>
              </w:rPr>
            </w:pPr>
            <w:r w:rsidRPr="00F573B6">
              <w:rPr>
                <w:rFonts w:ascii="Times New Roman" w:eastAsia="Times New Roman" w:hAnsi="Times New Roman" w:cs="Times New Roman"/>
                <w:sz w:val="16"/>
                <w:szCs w:val="16"/>
                <w:lang w:eastAsia="hr-HR"/>
              </w:rPr>
              <w:t>V Uredski materijal – pisaći i uredski pribor</w:t>
            </w:r>
          </w:p>
        </w:tc>
      </w:tr>
      <w:tr w:rsidR="005F4D4D" w:rsidRPr="00F573B6" w:rsidTr="00E12569">
        <w:trPr>
          <w:trHeight w:val="300"/>
        </w:trPr>
        <w:tc>
          <w:tcPr>
            <w:tcW w:w="1843" w:type="dxa"/>
            <w:tcBorders>
              <w:top w:val="nil"/>
              <w:left w:val="single" w:sz="4" w:space="0" w:color="000080"/>
              <w:bottom w:val="single" w:sz="4" w:space="0" w:color="000080"/>
              <w:right w:val="single" w:sz="4" w:space="0" w:color="000080"/>
            </w:tcBorders>
            <w:noWrap/>
            <w:vAlign w:val="center"/>
            <w:hideMark/>
          </w:tcPr>
          <w:p w:rsidR="005F4D4D" w:rsidRPr="00F573B6" w:rsidRDefault="005F4D4D" w:rsidP="005F4D4D">
            <w:pPr>
              <w:spacing w:after="0" w:line="240" w:lineRule="auto"/>
              <w:rPr>
                <w:rFonts w:ascii="Times New Roman" w:eastAsia="Times New Roman" w:hAnsi="Times New Roman" w:cs="Times New Roman"/>
                <w:b/>
                <w:sz w:val="16"/>
                <w:szCs w:val="16"/>
                <w:lang w:eastAsia="hr-HR"/>
              </w:rPr>
            </w:pPr>
            <w:r w:rsidRPr="00F573B6">
              <w:rPr>
                <w:rFonts w:ascii="Times New Roman" w:eastAsia="Times New Roman" w:hAnsi="Times New Roman" w:cs="Times New Roman"/>
                <w:b/>
                <w:sz w:val="16"/>
                <w:szCs w:val="16"/>
                <w:lang w:eastAsia="hr-HR"/>
              </w:rPr>
              <w:t>Procijenjena prosječna mjesečna potrošnja po zaposleniku</w:t>
            </w:r>
          </w:p>
        </w:tc>
        <w:tc>
          <w:tcPr>
            <w:tcW w:w="1559" w:type="dxa"/>
            <w:tcBorders>
              <w:top w:val="nil"/>
              <w:left w:val="nil"/>
              <w:bottom w:val="single" w:sz="4" w:space="0" w:color="000080"/>
              <w:right w:val="single" w:sz="4" w:space="0" w:color="000080"/>
            </w:tcBorders>
            <w:noWrap/>
            <w:vAlign w:val="center"/>
          </w:tcPr>
          <w:p w:rsidR="005F4D4D" w:rsidRPr="00F573B6" w:rsidRDefault="005F4D4D" w:rsidP="005F4D4D">
            <w:pPr>
              <w:spacing w:after="0" w:line="240" w:lineRule="auto"/>
              <w:jc w:val="right"/>
              <w:rPr>
                <w:rFonts w:ascii="Times New Roman" w:eastAsia="Times New Roman" w:hAnsi="Times New Roman" w:cs="Times New Roman"/>
                <w:sz w:val="16"/>
                <w:szCs w:val="16"/>
                <w:lang w:eastAsia="hr-HR"/>
              </w:rPr>
            </w:pPr>
            <w:r w:rsidRPr="00F573B6">
              <w:rPr>
                <w:rFonts w:ascii="Times New Roman" w:eastAsia="Times New Roman" w:hAnsi="Times New Roman" w:cs="Times New Roman"/>
                <w:sz w:val="16"/>
                <w:szCs w:val="16"/>
                <w:lang w:eastAsia="hr-HR"/>
              </w:rPr>
              <w:t>18 kn</w:t>
            </w:r>
          </w:p>
        </w:tc>
        <w:tc>
          <w:tcPr>
            <w:tcW w:w="1417" w:type="dxa"/>
            <w:tcBorders>
              <w:top w:val="nil"/>
              <w:left w:val="nil"/>
              <w:bottom w:val="single" w:sz="4" w:space="0" w:color="000080"/>
              <w:right w:val="single" w:sz="4" w:space="0" w:color="000080"/>
            </w:tcBorders>
            <w:noWrap/>
            <w:vAlign w:val="center"/>
          </w:tcPr>
          <w:p w:rsidR="005F4D4D" w:rsidRPr="00F573B6" w:rsidRDefault="005F4D4D" w:rsidP="005F4D4D">
            <w:pPr>
              <w:spacing w:after="0" w:line="240" w:lineRule="auto"/>
              <w:jc w:val="right"/>
              <w:rPr>
                <w:rFonts w:ascii="Times New Roman" w:eastAsia="Times New Roman" w:hAnsi="Times New Roman" w:cs="Times New Roman"/>
                <w:sz w:val="16"/>
                <w:szCs w:val="16"/>
                <w:lang w:eastAsia="hr-HR"/>
              </w:rPr>
            </w:pPr>
            <w:r w:rsidRPr="00F573B6">
              <w:rPr>
                <w:rFonts w:ascii="Times New Roman" w:eastAsia="Times New Roman" w:hAnsi="Times New Roman" w:cs="Times New Roman"/>
                <w:sz w:val="16"/>
                <w:szCs w:val="16"/>
                <w:lang w:eastAsia="hr-HR"/>
              </w:rPr>
              <w:t>3 kn</w:t>
            </w:r>
          </w:p>
        </w:tc>
        <w:tc>
          <w:tcPr>
            <w:tcW w:w="1418" w:type="dxa"/>
            <w:tcBorders>
              <w:top w:val="nil"/>
              <w:left w:val="nil"/>
              <w:bottom w:val="single" w:sz="4" w:space="0" w:color="000080"/>
              <w:right w:val="single" w:sz="4" w:space="0" w:color="000080"/>
            </w:tcBorders>
            <w:noWrap/>
            <w:vAlign w:val="center"/>
          </w:tcPr>
          <w:p w:rsidR="005F4D4D" w:rsidRPr="00F573B6" w:rsidRDefault="005F4D4D" w:rsidP="005F4D4D">
            <w:pPr>
              <w:spacing w:after="0" w:line="240" w:lineRule="auto"/>
              <w:jc w:val="right"/>
              <w:rPr>
                <w:rFonts w:ascii="Times New Roman" w:eastAsia="Times New Roman" w:hAnsi="Times New Roman" w:cs="Times New Roman"/>
                <w:sz w:val="16"/>
                <w:szCs w:val="16"/>
                <w:lang w:eastAsia="hr-HR"/>
              </w:rPr>
            </w:pPr>
            <w:r w:rsidRPr="00F573B6">
              <w:rPr>
                <w:rFonts w:ascii="Times New Roman" w:eastAsia="Times New Roman" w:hAnsi="Times New Roman" w:cs="Times New Roman"/>
                <w:sz w:val="16"/>
                <w:szCs w:val="16"/>
                <w:lang w:eastAsia="hr-HR"/>
              </w:rPr>
              <w:t>5 kn</w:t>
            </w:r>
          </w:p>
        </w:tc>
        <w:tc>
          <w:tcPr>
            <w:tcW w:w="1417" w:type="dxa"/>
            <w:tcBorders>
              <w:top w:val="nil"/>
              <w:left w:val="nil"/>
              <w:bottom w:val="single" w:sz="4" w:space="0" w:color="000080"/>
              <w:right w:val="single" w:sz="4" w:space="0" w:color="000080"/>
            </w:tcBorders>
            <w:noWrap/>
            <w:vAlign w:val="center"/>
          </w:tcPr>
          <w:p w:rsidR="005F4D4D" w:rsidRPr="00F573B6" w:rsidRDefault="005F4D4D" w:rsidP="005F4D4D">
            <w:pPr>
              <w:spacing w:after="0" w:line="240" w:lineRule="auto"/>
              <w:jc w:val="right"/>
              <w:rPr>
                <w:rFonts w:ascii="Times New Roman" w:eastAsia="Times New Roman" w:hAnsi="Times New Roman" w:cs="Times New Roman"/>
                <w:sz w:val="16"/>
                <w:szCs w:val="16"/>
                <w:lang w:eastAsia="hr-HR"/>
              </w:rPr>
            </w:pPr>
            <w:r w:rsidRPr="00F573B6">
              <w:rPr>
                <w:rFonts w:ascii="Times New Roman" w:eastAsia="Times New Roman" w:hAnsi="Times New Roman" w:cs="Times New Roman"/>
                <w:sz w:val="16"/>
                <w:szCs w:val="16"/>
                <w:lang w:eastAsia="hr-HR"/>
              </w:rPr>
              <w:t>3 kn</w:t>
            </w:r>
          </w:p>
        </w:tc>
        <w:tc>
          <w:tcPr>
            <w:tcW w:w="1418" w:type="dxa"/>
            <w:tcBorders>
              <w:top w:val="nil"/>
              <w:left w:val="nil"/>
              <w:bottom w:val="single" w:sz="4" w:space="0" w:color="000080"/>
              <w:right w:val="single" w:sz="4" w:space="0" w:color="000080"/>
            </w:tcBorders>
            <w:noWrap/>
            <w:vAlign w:val="center"/>
          </w:tcPr>
          <w:p w:rsidR="005F4D4D" w:rsidRPr="00F573B6" w:rsidRDefault="005F4D4D" w:rsidP="005F4D4D">
            <w:pPr>
              <w:spacing w:after="0" w:line="240" w:lineRule="auto"/>
              <w:jc w:val="right"/>
              <w:rPr>
                <w:rFonts w:ascii="Times New Roman" w:eastAsia="Times New Roman" w:hAnsi="Times New Roman" w:cs="Times New Roman"/>
                <w:sz w:val="16"/>
                <w:szCs w:val="16"/>
                <w:lang w:eastAsia="hr-HR"/>
              </w:rPr>
            </w:pPr>
            <w:r w:rsidRPr="00F573B6">
              <w:rPr>
                <w:rFonts w:ascii="Times New Roman" w:eastAsia="Times New Roman" w:hAnsi="Times New Roman" w:cs="Times New Roman"/>
                <w:sz w:val="16"/>
                <w:szCs w:val="16"/>
                <w:lang w:eastAsia="hr-HR"/>
              </w:rPr>
              <w:t>3 kn</w:t>
            </w:r>
          </w:p>
        </w:tc>
      </w:tr>
    </w:tbl>
    <w:p w:rsidR="005F4D4D" w:rsidRPr="00F573B6" w:rsidRDefault="005F4D4D" w:rsidP="00A37F2B">
      <w:pPr>
        <w:rPr>
          <w:rFonts w:ascii="Times New Roman" w:hAnsi="Times New Roman" w:cs="Times New Roman"/>
          <w:b/>
          <w:sz w:val="18"/>
          <w:szCs w:val="18"/>
        </w:rPr>
      </w:pPr>
      <w:r w:rsidRPr="00F573B6">
        <w:rPr>
          <w:rFonts w:ascii="Times New Roman" w:hAnsi="Times New Roman" w:cs="Times New Roman"/>
          <w:b/>
          <w:sz w:val="18"/>
          <w:szCs w:val="18"/>
        </w:rPr>
        <w:t>*12 vrsta uobičajenih papira</w:t>
      </w:r>
    </w:p>
    <w:p w:rsidR="005F4D4D" w:rsidRPr="00F573B6" w:rsidRDefault="005F4D4D" w:rsidP="00A37F2B">
      <w:pPr>
        <w:rPr>
          <w:rFonts w:ascii="Times New Roman" w:hAnsi="Times New Roman" w:cs="Times New Roman"/>
          <w:b/>
          <w:sz w:val="18"/>
          <w:szCs w:val="18"/>
        </w:rPr>
      </w:pPr>
      <w:r w:rsidRPr="00F573B6">
        <w:rPr>
          <w:rFonts w:ascii="Times New Roman" w:hAnsi="Times New Roman" w:cs="Times New Roman"/>
          <w:b/>
          <w:sz w:val="18"/>
          <w:szCs w:val="18"/>
        </w:rPr>
        <w:t xml:space="preserve">**Npr. </w:t>
      </w:r>
      <w:proofErr w:type="spellStart"/>
      <w:r w:rsidRPr="00F573B6">
        <w:rPr>
          <w:rFonts w:ascii="Times New Roman" w:hAnsi="Times New Roman" w:cs="Times New Roman"/>
          <w:b/>
          <w:sz w:val="18"/>
          <w:szCs w:val="18"/>
        </w:rPr>
        <w:t>registratori</w:t>
      </w:r>
      <w:proofErr w:type="spellEnd"/>
      <w:r w:rsidRPr="00F573B6">
        <w:rPr>
          <w:rFonts w:ascii="Times New Roman" w:hAnsi="Times New Roman" w:cs="Times New Roman"/>
          <w:b/>
          <w:sz w:val="18"/>
          <w:szCs w:val="18"/>
        </w:rPr>
        <w:t>,  bilježnice, fascikli,…</w:t>
      </w:r>
    </w:p>
    <w:p w:rsidR="005F4D4D" w:rsidRPr="00F573B6" w:rsidRDefault="005F4D4D" w:rsidP="006B7B79">
      <w:pPr>
        <w:jc w:val="both"/>
        <w:rPr>
          <w:rFonts w:ascii="Times New Roman" w:hAnsi="Times New Roman" w:cs="Times New Roman"/>
          <w:b/>
        </w:rPr>
      </w:pPr>
      <w:r w:rsidRPr="00F573B6">
        <w:rPr>
          <w:rFonts w:ascii="Times New Roman" w:hAnsi="Times New Roman" w:cs="Times New Roman"/>
          <w:b/>
        </w:rPr>
        <w:t xml:space="preserve">Uredski materijal – papir, uzevši u obzir raspon troška od 4 do 37 </w:t>
      </w:r>
      <w:r w:rsidR="00933C67" w:rsidRPr="00F573B6">
        <w:rPr>
          <w:rFonts w:ascii="Times New Roman" w:hAnsi="Times New Roman" w:cs="Times New Roman"/>
          <w:b/>
        </w:rPr>
        <w:t>k</w:t>
      </w:r>
      <w:r w:rsidR="00933C67">
        <w:rPr>
          <w:rFonts w:ascii="Times New Roman" w:hAnsi="Times New Roman" w:cs="Times New Roman"/>
          <w:b/>
        </w:rPr>
        <w:t>una</w:t>
      </w:r>
      <w:r w:rsidR="00933C67" w:rsidRPr="00F573B6">
        <w:rPr>
          <w:rFonts w:ascii="Times New Roman" w:hAnsi="Times New Roman" w:cs="Times New Roman"/>
          <w:b/>
        </w:rPr>
        <w:t xml:space="preserve"> </w:t>
      </w:r>
      <w:r w:rsidRPr="00F573B6">
        <w:rPr>
          <w:rFonts w:ascii="Times New Roman" w:hAnsi="Times New Roman" w:cs="Times New Roman"/>
          <w:b/>
        </w:rPr>
        <w:t>po zaposleniku mjesečno, bez PDV-a, dok 60% korisnika ima trošak u rasponu od 14 do 23 k</w:t>
      </w:r>
      <w:r w:rsidR="00933C67">
        <w:rPr>
          <w:rFonts w:ascii="Times New Roman" w:hAnsi="Times New Roman" w:cs="Times New Roman"/>
          <w:b/>
        </w:rPr>
        <w:t>une</w:t>
      </w:r>
      <w:r w:rsidRPr="00F573B6">
        <w:rPr>
          <w:rFonts w:ascii="Times New Roman" w:hAnsi="Times New Roman" w:cs="Times New Roman"/>
          <w:b/>
        </w:rPr>
        <w:t>, po zaposleniku mjesečno, bez PDV-a</w:t>
      </w:r>
    </w:p>
    <w:p w:rsidR="005F4D4D" w:rsidRPr="00F573B6" w:rsidRDefault="005F4D4D" w:rsidP="005F4D4D">
      <w:pPr>
        <w:pStyle w:val="Odlomakpopisa"/>
        <w:numPr>
          <w:ilvl w:val="0"/>
          <w:numId w:val="36"/>
        </w:numPr>
        <w:spacing w:line="240" w:lineRule="auto"/>
        <w:ind w:left="567" w:hanging="567"/>
        <w:jc w:val="both"/>
        <w:rPr>
          <w:rFonts w:ascii="Times New Roman" w:eastAsiaTheme="majorEastAsia" w:hAnsi="Times New Roman" w:cs="Times New Roman"/>
          <w:bCs/>
        </w:rPr>
      </w:pPr>
      <w:r w:rsidRPr="00F573B6">
        <w:rPr>
          <w:rFonts w:ascii="Times New Roman" w:eastAsiaTheme="majorEastAsia" w:hAnsi="Times New Roman" w:cs="Times New Roman"/>
          <w:bCs/>
        </w:rPr>
        <w:t xml:space="preserve">Uredski materijal – tiskanice, uzevši u obzir  raspon troška od </w:t>
      </w:r>
      <w:r w:rsidRPr="00F573B6">
        <w:rPr>
          <w:rFonts w:ascii="Times New Roman" w:hAnsi="Times New Roman" w:cs="Times New Roman"/>
        </w:rPr>
        <w:t>0,25 do 7 k</w:t>
      </w:r>
      <w:r w:rsidR="00933C67">
        <w:rPr>
          <w:rFonts w:ascii="Times New Roman" w:hAnsi="Times New Roman" w:cs="Times New Roman"/>
        </w:rPr>
        <w:t xml:space="preserve">una </w:t>
      </w:r>
      <w:r w:rsidRPr="00F573B6">
        <w:rPr>
          <w:rFonts w:ascii="Times New Roman" w:hAnsi="Times New Roman" w:cs="Times New Roman"/>
        </w:rPr>
        <w:t>po zaposleniku mjesečno, bez PDV-a</w:t>
      </w:r>
    </w:p>
    <w:p w:rsidR="005F4D4D" w:rsidRPr="00F573B6" w:rsidRDefault="005F4D4D" w:rsidP="005F4D4D">
      <w:pPr>
        <w:pStyle w:val="Odlomakpopisa"/>
        <w:numPr>
          <w:ilvl w:val="0"/>
          <w:numId w:val="36"/>
        </w:numPr>
        <w:spacing w:line="240" w:lineRule="auto"/>
        <w:ind w:left="567" w:hanging="567"/>
        <w:jc w:val="both"/>
        <w:rPr>
          <w:rFonts w:ascii="Times New Roman" w:eastAsiaTheme="majorEastAsia" w:hAnsi="Times New Roman" w:cs="Times New Roman"/>
          <w:bCs/>
        </w:rPr>
      </w:pPr>
      <w:r w:rsidRPr="00F573B6">
        <w:rPr>
          <w:rFonts w:ascii="Times New Roman" w:eastAsiaTheme="majorEastAsia" w:hAnsi="Times New Roman" w:cs="Times New Roman"/>
          <w:bCs/>
        </w:rPr>
        <w:t xml:space="preserve">Uredski materijal – odlaganje, arhiviranje, papirnati artikli, uzevši u obzir  raspon troška od </w:t>
      </w:r>
      <w:r w:rsidRPr="00F573B6">
        <w:rPr>
          <w:rFonts w:ascii="Times New Roman" w:hAnsi="Times New Roman" w:cs="Times New Roman"/>
        </w:rPr>
        <w:t>2 do 11 k</w:t>
      </w:r>
      <w:r w:rsidR="00933C67">
        <w:rPr>
          <w:rFonts w:ascii="Times New Roman" w:hAnsi="Times New Roman" w:cs="Times New Roman"/>
        </w:rPr>
        <w:t>una</w:t>
      </w:r>
      <w:r w:rsidRPr="00F573B6">
        <w:rPr>
          <w:rFonts w:ascii="Times New Roman" w:hAnsi="Times New Roman" w:cs="Times New Roman"/>
        </w:rPr>
        <w:t xml:space="preserve"> po zaposleniku mjesečno, bez PDV-a</w:t>
      </w:r>
    </w:p>
    <w:p w:rsidR="005F4D4D" w:rsidRPr="00F573B6" w:rsidRDefault="005F4D4D" w:rsidP="005F4D4D">
      <w:pPr>
        <w:pStyle w:val="Odlomakpopisa"/>
        <w:numPr>
          <w:ilvl w:val="0"/>
          <w:numId w:val="36"/>
        </w:numPr>
        <w:spacing w:line="240" w:lineRule="auto"/>
        <w:ind w:left="567" w:hanging="567"/>
        <w:jc w:val="both"/>
        <w:rPr>
          <w:rFonts w:ascii="Times New Roman" w:eastAsiaTheme="majorEastAsia" w:hAnsi="Times New Roman" w:cs="Times New Roman"/>
          <w:bCs/>
        </w:rPr>
      </w:pPr>
      <w:r w:rsidRPr="00F573B6">
        <w:rPr>
          <w:rFonts w:ascii="Times New Roman" w:eastAsiaTheme="majorEastAsia" w:hAnsi="Times New Roman" w:cs="Times New Roman"/>
          <w:bCs/>
        </w:rPr>
        <w:t xml:space="preserve">Uredski materijal – kuverte i vrećice za otpremu, uzevši u obzir  raspon troška od </w:t>
      </w:r>
      <w:r w:rsidRPr="00F573B6">
        <w:rPr>
          <w:rFonts w:ascii="Times New Roman" w:hAnsi="Times New Roman" w:cs="Times New Roman"/>
        </w:rPr>
        <w:t>0,13 do 5 k</w:t>
      </w:r>
      <w:r w:rsidR="00933C67">
        <w:rPr>
          <w:rFonts w:ascii="Times New Roman" w:hAnsi="Times New Roman" w:cs="Times New Roman"/>
        </w:rPr>
        <w:t>una</w:t>
      </w:r>
      <w:r w:rsidRPr="00F573B6">
        <w:rPr>
          <w:rFonts w:ascii="Times New Roman" w:hAnsi="Times New Roman" w:cs="Times New Roman"/>
        </w:rPr>
        <w:t xml:space="preserve"> po zaposleniku mjesečno, bez PDV-a, dok 10% korisnika ima trošak iznad 13 k</w:t>
      </w:r>
      <w:r w:rsidR="00933C67">
        <w:rPr>
          <w:rFonts w:ascii="Times New Roman" w:hAnsi="Times New Roman" w:cs="Times New Roman"/>
        </w:rPr>
        <w:t>una</w:t>
      </w:r>
      <w:r w:rsidRPr="00F573B6">
        <w:rPr>
          <w:rFonts w:ascii="Times New Roman" w:hAnsi="Times New Roman" w:cs="Times New Roman"/>
        </w:rPr>
        <w:t xml:space="preserve"> po zaposleniku mjesečno, bez PDV-a</w:t>
      </w:r>
    </w:p>
    <w:p w:rsidR="005F4D4D" w:rsidRPr="00F573B6" w:rsidRDefault="005F4D4D" w:rsidP="005F4D4D">
      <w:pPr>
        <w:pStyle w:val="Odlomakpopisa"/>
        <w:numPr>
          <w:ilvl w:val="0"/>
          <w:numId w:val="36"/>
        </w:numPr>
        <w:spacing w:line="240" w:lineRule="auto"/>
        <w:ind w:left="567" w:hanging="567"/>
        <w:jc w:val="both"/>
        <w:rPr>
          <w:rFonts w:ascii="Times New Roman" w:eastAsiaTheme="majorEastAsia" w:hAnsi="Times New Roman" w:cs="Times New Roman"/>
          <w:bCs/>
        </w:rPr>
      </w:pPr>
      <w:r w:rsidRPr="00F573B6">
        <w:rPr>
          <w:rFonts w:ascii="Times New Roman" w:eastAsiaTheme="majorEastAsia" w:hAnsi="Times New Roman" w:cs="Times New Roman"/>
          <w:bCs/>
        </w:rPr>
        <w:t xml:space="preserve">Uredski materijal – pisači i uredski pribor, uzevši u obzir  raspon troška od </w:t>
      </w:r>
      <w:r w:rsidRPr="00F573B6">
        <w:rPr>
          <w:rFonts w:ascii="Times New Roman" w:hAnsi="Times New Roman" w:cs="Times New Roman"/>
        </w:rPr>
        <w:t>1 do 7 k</w:t>
      </w:r>
      <w:r w:rsidR="00933C67">
        <w:rPr>
          <w:rFonts w:ascii="Times New Roman" w:hAnsi="Times New Roman" w:cs="Times New Roman"/>
        </w:rPr>
        <w:t>una</w:t>
      </w:r>
      <w:r w:rsidRPr="00F573B6">
        <w:rPr>
          <w:rFonts w:ascii="Times New Roman" w:hAnsi="Times New Roman" w:cs="Times New Roman"/>
        </w:rPr>
        <w:t xml:space="preserve"> po zaposleniku mjesečno, bez PDV-a, dok 60% korisnika ima trošak u rasponu od 2 do 4 k</w:t>
      </w:r>
      <w:r w:rsidR="00FC55A3">
        <w:rPr>
          <w:rFonts w:ascii="Times New Roman" w:hAnsi="Times New Roman" w:cs="Times New Roman"/>
        </w:rPr>
        <w:t>une</w:t>
      </w:r>
      <w:r w:rsidRPr="00F573B6">
        <w:rPr>
          <w:rFonts w:ascii="Times New Roman" w:hAnsi="Times New Roman" w:cs="Times New Roman"/>
        </w:rPr>
        <w:t xml:space="preserve"> po zaposleniku mjesečno, bez PDV-a</w:t>
      </w:r>
    </w:p>
    <w:p w:rsidR="005F4D4D" w:rsidRPr="006B7B79" w:rsidRDefault="0016236A" w:rsidP="006B7B79">
      <w:pPr>
        <w:pStyle w:val="Opisslike"/>
        <w:spacing w:after="0"/>
        <w:jc w:val="both"/>
        <w:rPr>
          <w:rFonts w:ascii="Times New Roman" w:hAnsi="Times New Roman" w:cs="Times New Roman"/>
          <w:sz w:val="20"/>
          <w:szCs w:val="20"/>
        </w:rPr>
      </w:pPr>
      <w:bookmarkStart w:id="42" w:name="_Toc436402266"/>
      <w:r w:rsidRPr="006B7B79">
        <w:rPr>
          <w:rFonts w:ascii="Times New Roman" w:hAnsi="Times New Roman" w:cs="Times New Roman"/>
          <w:sz w:val="20"/>
          <w:szCs w:val="20"/>
        </w:rPr>
        <w:t>Tabela</w:t>
      </w:r>
      <w:r w:rsidRPr="006B7B79">
        <w:rPr>
          <w:rFonts w:ascii="Times New Roman" w:hAnsi="Times New Roman" w:cs="Times New Roman"/>
        </w:rPr>
        <w:t xml:space="preserve"> </w:t>
      </w:r>
      <w:r w:rsidR="00074A4A" w:rsidRPr="006B7B79">
        <w:rPr>
          <w:rFonts w:ascii="Times New Roman" w:hAnsi="Times New Roman" w:cs="Times New Roman"/>
        </w:rPr>
        <w:fldChar w:fldCharType="begin"/>
      </w:r>
      <w:r w:rsidR="00074A4A" w:rsidRPr="006B7B79">
        <w:rPr>
          <w:rFonts w:ascii="Times New Roman" w:hAnsi="Times New Roman" w:cs="Times New Roman"/>
        </w:rPr>
        <w:instrText xml:space="preserve"> SEQ Tabela \* ARABIC </w:instrText>
      </w:r>
      <w:r w:rsidR="00074A4A" w:rsidRPr="006B7B79">
        <w:rPr>
          <w:rFonts w:ascii="Times New Roman" w:hAnsi="Times New Roman" w:cs="Times New Roman"/>
        </w:rPr>
        <w:fldChar w:fldCharType="separate"/>
      </w:r>
      <w:r w:rsidR="00F50808">
        <w:rPr>
          <w:rFonts w:ascii="Times New Roman" w:hAnsi="Times New Roman" w:cs="Times New Roman"/>
          <w:noProof/>
        </w:rPr>
        <w:t>19</w:t>
      </w:r>
      <w:r w:rsidR="00074A4A" w:rsidRPr="006B7B79">
        <w:rPr>
          <w:rFonts w:ascii="Times New Roman" w:hAnsi="Times New Roman" w:cs="Times New Roman"/>
          <w:noProof/>
        </w:rPr>
        <w:fldChar w:fldCharType="end"/>
      </w:r>
      <w:r w:rsidR="005F4D4D" w:rsidRPr="006B7B79">
        <w:rPr>
          <w:rFonts w:ascii="Times New Roman" w:hAnsi="Times New Roman" w:cs="Times New Roman"/>
          <w:sz w:val="20"/>
          <w:szCs w:val="20"/>
        </w:rPr>
        <w:t>: Potrošni materijal, sredstva za čišćenje i održavanje i materijal za higijenske potrebe i njegu (3221) prema podacima Državnog ureda za središnju javnu nab</w:t>
      </w:r>
      <w:r w:rsidR="00072CB6" w:rsidRPr="006B7B79">
        <w:rPr>
          <w:rFonts w:ascii="Times New Roman" w:hAnsi="Times New Roman" w:cs="Times New Roman"/>
          <w:sz w:val="20"/>
          <w:szCs w:val="20"/>
        </w:rPr>
        <w:t>avu – procjena potrošnje u 2015.</w:t>
      </w:r>
      <w:r w:rsidR="005F4D4D" w:rsidRPr="006B7B79">
        <w:rPr>
          <w:rFonts w:ascii="Times New Roman" w:hAnsi="Times New Roman" w:cs="Times New Roman"/>
          <w:sz w:val="20"/>
          <w:szCs w:val="20"/>
        </w:rPr>
        <w:t xml:space="preserve">  za tijela izvršne vlasti – VRH, HS, ministarstva, državni ured</w:t>
      </w:r>
      <w:r w:rsidR="00D93378" w:rsidRPr="006B7B79">
        <w:rPr>
          <w:rFonts w:ascii="Times New Roman" w:hAnsi="Times New Roman" w:cs="Times New Roman"/>
          <w:sz w:val="20"/>
          <w:szCs w:val="20"/>
        </w:rPr>
        <w:t>i, državne upravne organizacije</w:t>
      </w:r>
      <w:r w:rsidR="005F4D4D" w:rsidRPr="006B7B79">
        <w:rPr>
          <w:rFonts w:ascii="Times New Roman" w:hAnsi="Times New Roman" w:cs="Times New Roman"/>
          <w:sz w:val="20"/>
          <w:szCs w:val="20"/>
        </w:rPr>
        <w:t xml:space="preserve"> (u kn, bez PDV-a)</w:t>
      </w:r>
      <w:bookmarkEnd w:id="42"/>
    </w:p>
    <w:tbl>
      <w:tblPr>
        <w:tblW w:w="9048" w:type="dxa"/>
        <w:tblInd w:w="-5" w:type="dxa"/>
        <w:tblLayout w:type="fixed"/>
        <w:tblLook w:val="04A0" w:firstRow="1" w:lastRow="0" w:firstColumn="1" w:lastColumn="0" w:noHBand="0" w:noVBand="1"/>
      </w:tblPr>
      <w:tblGrid>
        <w:gridCol w:w="2179"/>
        <w:gridCol w:w="1843"/>
        <w:gridCol w:w="1675"/>
        <w:gridCol w:w="1676"/>
        <w:gridCol w:w="1675"/>
      </w:tblGrid>
      <w:tr w:rsidR="005F4D4D" w:rsidRPr="00F573B6" w:rsidTr="00E12569">
        <w:trPr>
          <w:trHeight w:val="877"/>
        </w:trPr>
        <w:tc>
          <w:tcPr>
            <w:tcW w:w="2179" w:type="dxa"/>
            <w:tcBorders>
              <w:top w:val="single" w:sz="4" w:space="0" w:color="000080"/>
              <w:left w:val="single" w:sz="4" w:space="0" w:color="000080"/>
              <w:bottom w:val="single" w:sz="4" w:space="0" w:color="000080"/>
              <w:right w:val="single" w:sz="4" w:space="0" w:color="000080"/>
            </w:tcBorders>
            <w:shd w:val="clear" w:color="auto" w:fill="DCE6F1"/>
            <w:vAlign w:val="center"/>
            <w:hideMark/>
          </w:tcPr>
          <w:p w:rsidR="005F4D4D" w:rsidRPr="00F573B6" w:rsidRDefault="005F4D4D" w:rsidP="00D93378">
            <w:pPr>
              <w:spacing w:after="0" w:line="240" w:lineRule="auto"/>
              <w:rPr>
                <w:rFonts w:ascii="Times New Roman" w:eastAsia="Times New Roman" w:hAnsi="Times New Roman" w:cs="Times New Roman"/>
                <w:b/>
                <w:bCs/>
                <w:sz w:val="16"/>
                <w:szCs w:val="16"/>
                <w:lang w:eastAsia="hr-HR"/>
              </w:rPr>
            </w:pPr>
            <w:r w:rsidRPr="00F573B6">
              <w:rPr>
                <w:rFonts w:ascii="Times New Roman" w:eastAsia="Times New Roman" w:hAnsi="Times New Roman" w:cs="Times New Roman"/>
                <w:b/>
                <w:bCs/>
                <w:sz w:val="16"/>
                <w:szCs w:val="16"/>
                <w:lang w:eastAsia="hr-HR"/>
              </w:rPr>
              <w:t xml:space="preserve">Procjena potrošnje uredskog materijala </w:t>
            </w:r>
          </w:p>
        </w:tc>
        <w:tc>
          <w:tcPr>
            <w:tcW w:w="1843" w:type="dxa"/>
            <w:tcBorders>
              <w:top w:val="single" w:sz="4" w:space="0" w:color="000080"/>
              <w:left w:val="nil"/>
              <w:bottom w:val="single" w:sz="4" w:space="0" w:color="000080"/>
              <w:right w:val="single" w:sz="4" w:space="0" w:color="000080"/>
            </w:tcBorders>
            <w:shd w:val="clear" w:color="auto" w:fill="DCE6F1"/>
            <w:vAlign w:val="center"/>
            <w:hideMark/>
          </w:tcPr>
          <w:p w:rsidR="005F4D4D" w:rsidRPr="00F573B6" w:rsidRDefault="005F4D4D" w:rsidP="00D93378">
            <w:pPr>
              <w:spacing w:after="0" w:line="240" w:lineRule="auto"/>
              <w:rPr>
                <w:rFonts w:ascii="Times New Roman" w:eastAsia="Times New Roman" w:hAnsi="Times New Roman" w:cs="Times New Roman"/>
                <w:sz w:val="16"/>
                <w:szCs w:val="16"/>
                <w:lang w:eastAsia="hr-HR"/>
              </w:rPr>
            </w:pPr>
            <w:r w:rsidRPr="00F573B6">
              <w:rPr>
                <w:rFonts w:ascii="Times New Roman" w:eastAsia="Times New Roman" w:hAnsi="Times New Roman" w:cs="Times New Roman"/>
                <w:sz w:val="16"/>
                <w:szCs w:val="16"/>
                <w:lang w:eastAsia="hr-HR"/>
              </w:rPr>
              <w:t>I.  Papirna konfekcija (toaletni papir, papirnati ručnici i salvete)</w:t>
            </w:r>
          </w:p>
        </w:tc>
        <w:tc>
          <w:tcPr>
            <w:tcW w:w="1675" w:type="dxa"/>
            <w:tcBorders>
              <w:top w:val="single" w:sz="4" w:space="0" w:color="000080"/>
              <w:left w:val="nil"/>
              <w:bottom w:val="single" w:sz="4" w:space="0" w:color="000080"/>
              <w:right w:val="single" w:sz="4" w:space="0" w:color="000080"/>
            </w:tcBorders>
            <w:shd w:val="clear" w:color="auto" w:fill="DCE6F1"/>
            <w:vAlign w:val="center"/>
            <w:hideMark/>
          </w:tcPr>
          <w:p w:rsidR="005F4D4D" w:rsidRPr="00F573B6" w:rsidRDefault="005F4D4D" w:rsidP="00D93378">
            <w:pPr>
              <w:spacing w:after="0" w:line="240" w:lineRule="auto"/>
              <w:rPr>
                <w:rFonts w:ascii="Times New Roman" w:eastAsia="Times New Roman" w:hAnsi="Times New Roman" w:cs="Times New Roman"/>
                <w:sz w:val="16"/>
                <w:szCs w:val="16"/>
                <w:lang w:eastAsia="hr-HR"/>
              </w:rPr>
            </w:pPr>
            <w:r w:rsidRPr="00F573B6">
              <w:rPr>
                <w:rFonts w:ascii="Times New Roman" w:eastAsia="Times New Roman" w:hAnsi="Times New Roman" w:cs="Times New Roman"/>
                <w:sz w:val="16"/>
                <w:szCs w:val="16"/>
                <w:lang w:eastAsia="hr-HR"/>
              </w:rPr>
              <w:t>II. Papirnata konfekcija i ostali potrošni materijal za specijalne uređaje TORK i ULTIMATIC</w:t>
            </w:r>
          </w:p>
        </w:tc>
        <w:tc>
          <w:tcPr>
            <w:tcW w:w="1676" w:type="dxa"/>
            <w:tcBorders>
              <w:top w:val="single" w:sz="4" w:space="0" w:color="000080"/>
              <w:left w:val="nil"/>
              <w:bottom w:val="single" w:sz="4" w:space="0" w:color="000080"/>
              <w:right w:val="single" w:sz="4" w:space="0" w:color="000080"/>
            </w:tcBorders>
            <w:shd w:val="clear" w:color="auto" w:fill="DCE6F1"/>
            <w:vAlign w:val="center"/>
            <w:hideMark/>
          </w:tcPr>
          <w:p w:rsidR="005F4D4D" w:rsidRPr="00F573B6" w:rsidRDefault="005F4D4D" w:rsidP="00D93378">
            <w:pPr>
              <w:spacing w:after="0" w:line="240" w:lineRule="auto"/>
              <w:rPr>
                <w:rFonts w:ascii="Times New Roman" w:eastAsia="Times New Roman" w:hAnsi="Times New Roman" w:cs="Times New Roman"/>
                <w:sz w:val="16"/>
                <w:szCs w:val="16"/>
                <w:lang w:eastAsia="hr-HR"/>
              </w:rPr>
            </w:pPr>
            <w:r w:rsidRPr="00F573B6">
              <w:rPr>
                <w:rFonts w:ascii="Times New Roman" w:eastAsia="Times New Roman" w:hAnsi="Times New Roman" w:cs="Times New Roman"/>
                <w:sz w:val="16"/>
                <w:szCs w:val="16"/>
                <w:lang w:eastAsia="hr-HR"/>
              </w:rPr>
              <w:t>III. Sredstva za pranje rublja i posuđa, ostala sredstva za pranje i čišćenje</w:t>
            </w:r>
          </w:p>
        </w:tc>
        <w:tc>
          <w:tcPr>
            <w:tcW w:w="1675" w:type="dxa"/>
            <w:tcBorders>
              <w:top w:val="single" w:sz="4" w:space="0" w:color="000080"/>
              <w:left w:val="nil"/>
              <w:bottom w:val="single" w:sz="4" w:space="0" w:color="000080"/>
              <w:right w:val="single" w:sz="4" w:space="0" w:color="000080"/>
            </w:tcBorders>
            <w:shd w:val="clear" w:color="auto" w:fill="DCE6F1"/>
            <w:vAlign w:val="center"/>
            <w:hideMark/>
          </w:tcPr>
          <w:p w:rsidR="005F4D4D" w:rsidRPr="00F573B6" w:rsidRDefault="005F4D4D" w:rsidP="00D93378">
            <w:pPr>
              <w:spacing w:after="0" w:line="240" w:lineRule="auto"/>
              <w:rPr>
                <w:rFonts w:ascii="Times New Roman" w:eastAsia="Times New Roman" w:hAnsi="Times New Roman" w:cs="Times New Roman"/>
                <w:sz w:val="16"/>
                <w:szCs w:val="16"/>
                <w:lang w:eastAsia="hr-HR"/>
              </w:rPr>
            </w:pPr>
            <w:r w:rsidRPr="00F573B6">
              <w:rPr>
                <w:rFonts w:ascii="Times New Roman" w:eastAsia="Times New Roman" w:hAnsi="Times New Roman" w:cs="Times New Roman"/>
                <w:sz w:val="16"/>
                <w:szCs w:val="16"/>
                <w:lang w:eastAsia="hr-HR"/>
              </w:rPr>
              <w:t>IV. Pribor za čišćenje i pribor za jelo i piće (za jednokratnu upotrebu)</w:t>
            </w:r>
          </w:p>
        </w:tc>
      </w:tr>
      <w:tr w:rsidR="005F4D4D" w:rsidRPr="00F573B6" w:rsidTr="00E12569">
        <w:trPr>
          <w:trHeight w:val="292"/>
        </w:trPr>
        <w:tc>
          <w:tcPr>
            <w:tcW w:w="2179" w:type="dxa"/>
            <w:tcBorders>
              <w:top w:val="nil"/>
              <w:left w:val="single" w:sz="4" w:space="0" w:color="000080"/>
              <w:bottom w:val="single" w:sz="4" w:space="0" w:color="000080"/>
              <w:right w:val="single" w:sz="4" w:space="0" w:color="000080"/>
            </w:tcBorders>
            <w:noWrap/>
            <w:vAlign w:val="center"/>
            <w:hideMark/>
          </w:tcPr>
          <w:p w:rsidR="005F4D4D" w:rsidRPr="00F573B6" w:rsidRDefault="005F4D4D" w:rsidP="00D93378">
            <w:pPr>
              <w:spacing w:after="0" w:line="240" w:lineRule="auto"/>
              <w:rPr>
                <w:rFonts w:ascii="Times New Roman" w:eastAsia="Times New Roman" w:hAnsi="Times New Roman" w:cs="Times New Roman"/>
                <w:b/>
                <w:sz w:val="16"/>
                <w:szCs w:val="16"/>
                <w:lang w:eastAsia="hr-HR"/>
              </w:rPr>
            </w:pPr>
            <w:r w:rsidRPr="00F573B6">
              <w:rPr>
                <w:rFonts w:ascii="Times New Roman" w:eastAsia="Times New Roman" w:hAnsi="Times New Roman" w:cs="Times New Roman"/>
                <w:b/>
                <w:sz w:val="16"/>
                <w:szCs w:val="16"/>
                <w:lang w:eastAsia="hr-HR"/>
              </w:rPr>
              <w:t>Procijenjena prosječna mjesečna potrošnja po zaposleniku</w:t>
            </w:r>
          </w:p>
        </w:tc>
        <w:tc>
          <w:tcPr>
            <w:tcW w:w="1843" w:type="dxa"/>
            <w:tcBorders>
              <w:top w:val="nil"/>
              <w:left w:val="nil"/>
              <w:bottom w:val="single" w:sz="4" w:space="0" w:color="000080"/>
              <w:right w:val="single" w:sz="4" w:space="0" w:color="000080"/>
            </w:tcBorders>
            <w:noWrap/>
            <w:vAlign w:val="center"/>
          </w:tcPr>
          <w:p w:rsidR="005F4D4D" w:rsidRPr="00F573B6" w:rsidRDefault="005F4D4D" w:rsidP="00D93378">
            <w:pPr>
              <w:spacing w:after="0" w:line="240" w:lineRule="auto"/>
              <w:jc w:val="center"/>
              <w:rPr>
                <w:rFonts w:ascii="Times New Roman" w:eastAsia="Times New Roman" w:hAnsi="Times New Roman" w:cs="Times New Roman"/>
                <w:sz w:val="16"/>
                <w:szCs w:val="16"/>
                <w:lang w:eastAsia="hr-HR"/>
              </w:rPr>
            </w:pPr>
            <w:r w:rsidRPr="00F573B6">
              <w:rPr>
                <w:rFonts w:ascii="Times New Roman" w:eastAsia="Times New Roman" w:hAnsi="Times New Roman" w:cs="Times New Roman"/>
                <w:sz w:val="16"/>
                <w:szCs w:val="16"/>
                <w:lang w:eastAsia="hr-HR"/>
              </w:rPr>
              <w:t>8 kn</w:t>
            </w:r>
          </w:p>
        </w:tc>
        <w:tc>
          <w:tcPr>
            <w:tcW w:w="1675" w:type="dxa"/>
            <w:tcBorders>
              <w:top w:val="nil"/>
              <w:left w:val="nil"/>
              <w:bottom w:val="single" w:sz="4" w:space="0" w:color="000080"/>
              <w:right w:val="single" w:sz="4" w:space="0" w:color="000080"/>
            </w:tcBorders>
            <w:noWrap/>
            <w:vAlign w:val="center"/>
          </w:tcPr>
          <w:p w:rsidR="005F4D4D" w:rsidRPr="00F573B6" w:rsidRDefault="005F4D4D" w:rsidP="00D93378">
            <w:pPr>
              <w:spacing w:after="0" w:line="240" w:lineRule="auto"/>
              <w:jc w:val="center"/>
              <w:rPr>
                <w:rFonts w:ascii="Times New Roman" w:eastAsia="Times New Roman" w:hAnsi="Times New Roman" w:cs="Times New Roman"/>
                <w:sz w:val="16"/>
                <w:szCs w:val="16"/>
                <w:lang w:eastAsia="hr-HR"/>
              </w:rPr>
            </w:pPr>
            <w:r w:rsidRPr="00F573B6">
              <w:rPr>
                <w:rFonts w:ascii="Times New Roman" w:eastAsia="Times New Roman" w:hAnsi="Times New Roman" w:cs="Times New Roman"/>
                <w:sz w:val="16"/>
                <w:szCs w:val="16"/>
                <w:lang w:eastAsia="hr-HR"/>
              </w:rPr>
              <w:t>3 kn</w:t>
            </w:r>
          </w:p>
        </w:tc>
        <w:tc>
          <w:tcPr>
            <w:tcW w:w="1676" w:type="dxa"/>
            <w:tcBorders>
              <w:top w:val="nil"/>
              <w:left w:val="nil"/>
              <w:bottom w:val="single" w:sz="4" w:space="0" w:color="000080"/>
              <w:right w:val="single" w:sz="4" w:space="0" w:color="000080"/>
            </w:tcBorders>
            <w:noWrap/>
            <w:vAlign w:val="center"/>
          </w:tcPr>
          <w:p w:rsidR="005F4D4D" w:rsidRPr="00F573B6" w:rsidRDefault="005F4D4D" w:rsidP="00D93378">
            <w:pPr>
              <w:spacing w:after="0" w:line="240" w:lineRule="auto"/>
              <w:jc w:val="center"/>
              <w:rPr>
                <w:rFonts w:ascii="Times New Roman" w:eastAsia="Times New Roman" w:hAnsi="Times New Roman" w:cs="Times New Roman"/>
                <w:sz w:val="16"/>
                <w:szCs w:val="16"/>
                <w:lang w:eastAsia="hr-HR"/>
              </w:rPr>
            </w:pPr>
            <w:r w:rsidRPr="00F573B6">
              <w:rPr>
                <w:rFonts w:ascii="Times New Roman" w:eastAsia="Times New Roman" w:hAnsi="Times New Roman" w:cs="Times New Roman"/>
                <w:sz w:val="16"/>
                <w:szCs w:val="16"/>
                <w:lang w:eastAsia="hr-HR"/>
              </w:rPr>
              <w:t>3 kn</w:t>
            </w:r>
          </w:p>
        </w:tc>
        <w:tc>
          <w:tcPr>
            <w:tcW w:w="1675" w:type="dxa"/>
            <w:tcBorders>
              <w:top w:val="nil"/>
              <w:left w:val="nil"/>
              <w:bottom w:val="single" w:sz="4" w:space="0" w:color="000080"/>
              <w:right w:val="single" w:sz="4" w:space="0" w:color="000080"/>
            </w:tcBorders>
            <w:noWrap/>
            <w:vAlign w:val="center"/>
          </w:tcPr>
          <w:p w:rsidR="005F4D4D" w:rsidRPr="00F573B6" w:rsidRDefault="005F4D4D" w:rsidP="00D93378">
            <w:pPr>
              <w:spacing w:after="0" w:line="240" w:lineRule="auto"/>
              <w:jc w:val="center"/>
              <w:rPr>
                <w:rFonts w:ascii="Times New Roman" w:eastAsia="Times New Roman" w:hAnsi="Times New Roman" w:cs="Times New Roman"/>
                <w:sz w:val="16"/>
                <w:szCs w:val="16"/>
                <w:lang w:eastAsia="hr-HR"/>
              </w:rPr>
            </w:pPr>
            <w:r w:rsidRPr="00F573B6">
              <w:rPr>
                <w:rFonts w:ascii="Times New Roman" w:eastAsia="Times New Roman" w:hAnsi="Times New Roman" w:cs="Times New Roman"/>
                <w:sz w:val="16"/>
                <w:szCs w:val="16"/>
                <w:lang w:eastAsia="hr-HR"/>
              </w:rPr>
              <w:t>3 kn</w:t>
            </w:r>
          </w:p>
        </w:tc>
      </w:tr>
    </w:tbl>
    <w:p w:rsidR="005F4D4D" w:rsidRPr="00F573B6" w:rsidRDefault="005F4D4D" w:rsidP="006B7B79">
      <w:pPr>
        <w:jc w:val="both"/>
        <w:rPr>
          <w:rFonts w:ascii="Times New Roman" w:hAnsi="Times New Roman" w:cs="Times New Roman"/>
          <w:b/>
        </w:rPr>
      </w:pPr>
      <w:r w:rsidRPr="00F573B6">
        <w:rPr>
          <w:rFonts w:ascii="Times New Roman" w:hAnsi="Times New Roman" w:cs="Times New Roman"/>
          <w:b/>
        </w:rPr>
        <w:t>Papirna konfekcija (toaletni papir, papirnati ručnici i salvete), uzevši u obzir raspon troška od 2 do 17 k</w:t>
      </w:r>
      <w:r w:rsidR="00FC55A3">
        <w:rPr>
          <w:rFonts w:ascii="Times New Roman" w:hAnsi="Times New Roman" w:cs="Times New Roman"/>
          <w:b/>
        </w:rPr>
        <w:t>una</w:t>
      </w:r>
      <w:r w:rsidRPr="00F573B6">
        <w:rPr>
          <w:rFonts w:ascii="Times New Roman" w:hAnsi="Times New Roman" w:cs="Times New Roman"/>
          <w:b/>
        </w:rPr>
        <w:t xml:space="preserve"> po zaposleniku mjesečno, bez PDV-a, dok je najveća potrošnja od 66 kn po zaposleniku mjesečno, bez PDV-a kod Ministarstva pravosuđa budući da su </w:t>
      </w:r>
      <w:r w:rsidR="00FC55A3" w:rsidRPr="00F573B6">
        <w:rPr>
          <w:rFonts w:ascii="Times New Roman" w:hAnsi="Times New Roman" w:cs="Times New Roman"/>
          <w:b/>
        </w:rPr>
        <w:t xml:space="preserve">u predmetni postupak bile uključene </w:t>
      </w:r>
      <w:r w:rsidRPr="00F573B6">
        <w:rPr>
          <w:rFonts w:ascii="Times New Roman" w:hAnsi="Times New Roman" w:cs="Times New Roman"/>
          <w:b/>
        </w:rPr>
        <w:t>kaznionice .</w:t>
      </w:r>
    </w:p>
    <w:p w:rsidR="005F4D4D" w:rsidRPr="00F573B6" w:rsidRDefault="005F4D4D" w:rsidP="00DD4BF2">
      <w:pPr>
        <w:pStyle w:val="Odlomakpopisa"/>
        <w:numPr>
          <w:ilvl w:val="0"/>
          <w:numId w:val="37"/>
        </w:numPr>
        <w:spacing w:line="240" w:lineRule="auto"/>
        <w:ind w:left="567" w:hanging="567"/>
        <w:jc w:val="both"/>
        <w:rPr>
          <w:rFonts w:ascii="Times New Roman" w:eastAsiaTheme="majorEastAsia" w:hAnsi="Times New Roman" w:cs="Times New Roman"/>
          <w:bCs/>
        </w:rPr>
      </w:pPr>
      <w:r w:rsidRPr="00F573B6">
        <w:rPr>
          <w:rFonts w:ascii="Times New Roman" w:eastAsiaTheme="majorEastAsia" w:hAnsi="Times New Roman" w:cs="Times New Roman"/>
          <w:bCs/>
        </w:rPr>
        <w:t>Papirnata konfekcija i ostali potrošni materijal za specijalne uređaje TORK i ULTIMATIC, uzevši u obzir  raspon troška od 2</w:t>
      </w:r>
      <w:r w:rsidRPr="00F573B6">
        <w:rPr>
          <w:rFonts w:ascii="Times New Roman" w:hAnsi="Times New Roman" w:cs="Times New Roman"/>
        </w:rPr>
        <w:t xml:space="preserve"> do 27 k</w:t>
      </w:r>
      <w:r w:rsidR="00DD4BF2">
        <w:rPr>
          <w:rFonts w:ascii="Times New Roman" w:hAnsi="Times New Roman" w:cs="Times New Roman"/>
        </w:rPr>
        <w:t>una</w:t>
      </w:r>
      <w:r w:rsidRPr="00F573B6">
        <w:rPr>
          <w:rFonts w:ascii="Times New Roman" w:hAnsi="Times New Roman" w:cs="Times New Roman"/>
        </w:rPr>
        <w:t xml:space="preserve"> po zaposleniku mjesečno, bez PDV-a</w:t>
      </w:r>
    </w:p>
    <w:p w:rsidR="005F4D4D" w:rsidRPr="00F573B6" w:rsidRDefault="005F4D4D" w:rsidP="006B7B79">
      <w:pPr>
        <w:pStyle w:val="Odlomakpopisa"/>
        <w:numPr>
          <w:ilvl w:val="0"/>
          <w:numId w:val="37"/>
        </w:numPr>
        <w:spacing w:line="240" w:lineRule="auto"/>
        <w:ind w:left="567" w:hanging="567"/>
        <w:jc w:val="both"/>
        <w:rPr>
          <w:rFonts w:ascii="Times New Roman" w:hAnsi="Times New Roman" w:cs="Times New Roman"/>
        </w:rPr>
      </w:pPr>
      <w:r w:rsidRPr="00F573B6">
        <w:rPr>
          <w:rFonts w:ascii="Times New Roman" w:eastAsiaTheme="majorEastAsia" w:hAnsi="Times New Roman" w:cs="Times New Roman"/>
          <w:bCs/>
        </w:rPr>
        <w:t>Sredstva za pranje rublja i posuđa, ostala sredstva za pranje i čišćenje, uzevši u obzir raspon troška od 1</w:t>
      </w:r>
      <w:r w:rsidRPr="00F573B6">
        <w:rPr>
          <w:rFonts w:ascii="Times New Roman" w:hAnsi="Times New Roman" w:cs="Times New Roman"/>
        </w:rPr>
        <w:t xml:space="preserve"> do 3 k</w:t>
      </w:r>
      <w:r w:rsidR="00DD4BF2">
        <w:rPr>
          <w:rFonts w:ascii="Times New Roman" w:hAnsi="Times New Roman" w:cs="Times New Roman"/>
        </w:rPr>
        <w:t>une</w:t>
      </w:r>
      <w:r w:rsidRPr="00F573B6">
        <w:rPr>
          <w:rFonts w:ascii="Times New Roman" w:hAnsi="Times New Roman" w:cs="Times New Roman"/>
        </w:rPr>
        <w:t xml:space="preserve"> po zaposleniku mjesečno, bez PDV-a, dok je najveća potrošnja od 71 </w:t>
      </w:r>
      <w:r w:rsidR="00DD4BF2" w:rsidRPr="00F573B6">
        <w:rPr>
          <w:rFonts w:ascii="Times New Roman" w:hAnsi="Times New Roman" w:cs="Times New Roman"/>
        </w:rPr>
        <w:t>k</w:t>
      </w:r>
      <w:r w:rsidR="00DD4BF2">
        <w:rPr>
          <w:rFonts w:ascii="Times New Roman" w:hAnsi="Times New Roman" w:cs="Times New Roman"/>
        </w:rPr>
        <w:t>unu</w:t>
      </w:r>
      <w:r w:rsidR="00DD4BF2" w:rsidRPr="00F573B6">
        <w:rPr>
          <w:rFonts w:ascii="Times New Roman" w:hAnsi="Times New Roman" w:cs="Times New Roman"/>
        </w:rPr>
        <w:t xml:space="preserve"> </w:t>
      </w:r>
      <w:r w:rsidRPr="00F573B6">
        <w:rPr>
          <w:rFonts w:ascii="Times New Roman" w:hAnsi="Times New Roman" w:cs="Times New Roman"/>
        </w:rPr>
        <w:t xml:space="preserve">po zaposleniku mjesečno, bez PDV-a kod Ministarstva pravosuđa budući da su </w:t>
      </w:r>
      <w:r w:rsidR="00DD4BF2" w:rsidRPr="00F573B6">
        <w:rPr>
          <w:rFonts w:ascii="Times New Roman" w:hAnsi="Times New Roman" w:cs="Times New Roman"/>
        </w:rPr>
        <w:t xml:space="preserve">u predmetni postupak </w:t>
      </w:r>
      <w:r w:rsidRPr="00F573B6">
        <w:rPr>
          <w:rFonts w:ascii="Times New Roman" w:hAnsi="Times New Roman" w:cs="Times New Roman"/>
        </w:rPr>
        <w:t>bile uključene</w:t>
      </w:r>
      <w:r w:rsidR="00DD4BF2" w:rsidRPr="00DD4BF2">
        <w:rPr>
          <w:rFonts w:ascii="Times New Roman" w:hAnsi="Times New Roman" w:cs="Times New Roman"/>
        </w:rPr>
        <w:t xml:space="preserve"> </w:t>
      </w:r>
      <w:r w:rsidR="00DD4BF2" w:rsidRPr="00F573B6">
        <w:rPr>
          <w:rFonts w:ascii="Times New Roman" w:hAnsi="Times New Roman" w:cs="Times New Roman"/>
        </w:rPr>
        <w:t>kaznionice</w:t>
      </w:r>
      <w:r w:rsidRPr="00F573B6">
        <w:rPr>
          <w:rFonts w:ascii="Times New Roman" w:hAnsi="Times New Roman" w:cs="Times New Roman"/>
        </w:rPr>
        <w:t>.</w:t>
      </w:r>
    </w:p>
    <w:p w:rsidR="005F4D4D" w:rsidRPr="004805AD" w:rsidRDefault="005F4D4D" w:rsidP="005F4D4D">
      <w:pPr>
        <w:pStyle w:val="Odlomakpopisa"/>
        <w:numPr>
          <w:ilvl w:val="0"/>
          <w:numId w:val="37"/>
        </w:numPr>
        <w:spacing w:line="240" w:lineRule="auto"/>
        <w:ind w:left="567" w:hanging="567"/>
        <w:jc w:val="both"/>
        <w:rPr>
          <w:rFonts w:ascii="Times New Roman" w:hAnsi="Times New Roman" w:cs="Times New Roman"/>
        </w:rPr>
      </w:pPr>
      <w:r w:rsidRPr="00F573B6">
        <w:rPr>
          <w:rFonts w:ascii="Times New Roman" w:eastAsiaTheme="majorEastAsia" w:hAnsi="Times New Roman" w:cs="Times New Roman"/>
          <w:bCs/>
        </w:rPr>
        <w:t xml:space="preserve">Pribor za čišćenje i pribor za jelo i piće (za jednokratnu upotrebu), uzevši u obzir  raspon troška od </w:t>
      </w:r>
      <w:r w:rsidRPr="00F573B6">
        <w:rPr>
          <w:rFonts w:ascii="Times New Roman" w:hAnsi="Times New Roman" w:cs="Times New Roman"/>
        </w:rPr>
        <w:t>2 do 24 k</w:t>
      </w:r>
      <w:r w:rsidR="00DD4BF2">
        <w:rPr>
          <w:rFonts w:ascii="Times New Roman" w:hAnsi="Times New Roman" w:cs="Times New Roman"/>
        </w:rPr>
        <w:t>une</w:t>
      </w:r>
      <w:r w:rsidRPr="00F573B6">
        <w:rPr>
          <w:rFonts w:ascii="Times New Roman" w:hAnsi="Times New Roman" w:cs="Times New Roman"/>
        </w:rPr>
        <w:t xml:space="preserve"> po zaposleniku mjesečno, bez PDV-a.</w:t>
      </w:r>
    </w:p>
    <w:p w:rsidR="00A2719A" w:rsidRPr="00FA7F54" w:rsidRDefault="00A2719A" w:rsidP="00A2719A">
      <w:pPr>
        <w:pStyle w:val="Naslov2"/>
        <w:rPr>
          <w:rFonts w:ascii="Times New Roman" w:hAnsi="Times New Roman" w:cs="Times New Roman"/>
          <w:color w:val="auto"/>
          <w:sz w:val="22"/>
          <w:szCs w:val="22"/>
        </w:rPr>
      </w:pPr>
      <w:bookmarkStart w:id="43" w:name="_Toc434411181"/>
      <w:bookmarkStart w:id="44" w:name="_Toc436402324"/>
      <w:r w:rsidRPr="00FA7F54">
        <w:rPr>
          <w:rFonts w:ascii="Times New Roman" w:hAnsi="Times New Roman" w:cs="Times New Roman"/>
          <w:color w:val="auto"/>
          <w:sz w:val="22"/>
          <w:szCs w:val="22"/>
        </w:rPr>
        <w:t>MATERIJAL I SIROVINE (3222)</w:t>
      </w:r>
      <w:bookmarkEnd w:id="43"/>
      <w:bookmarkEnd w:id="44"/>
    </w:p>
    <w:p w:rsidR="00481506" w:rsidRPr="00FA7F54" w:rsidRDefault="00481506" w:rsidP="00481506">
      <w:pPr>
        <w:spacing w:line="240" w:lineRule="auto"/>
        <w:jc w:val="both"/>
        <w:rPr>
          <w:rFonts w:ascii="Times New Roman" w:hAnsi="Times New Roman" w:cs="Times New Roman"/>
        </w:rPr>
      </w:pPr>
      <w:r w:rsidRPr="00FA7F54">
        <w:rPr>
          <w:rFonts w:ascii="Times New Roman" w:hAnsi="Times New Roman" w:cs="Times New Roman"/>
        </w:rPr>
        <w:t>Prema iskazanim podacima u financijskim izvještajima rashodi za materijal i sirovine u 2013. godini iznosili su 2</w:t>
      </w:r>
      <w:r w:rsidR="00AE72F6">
        <w:rPr>
          <w:rFonts w:ascii="Times New Roman" w:hAnsi="Times New Roman" w:cs="Times New Roman"/>
        </w:rPr>
        <w:t>,3 mlrd.</w:t>
      </w:r>
      <w:r w:rsidRPr="00FA7F54">
        <w:rPr>
          <w:rFonts w:ascii="Times New Roman" w:hAnsi="Times New Roman" w:cs="Times New Roman"/>
        </w:rPr>
        <w:t xml:space="preserve"> kuna, a u 2014. godini 2</w:t>
      </w:r>
      <w:r w:rsidR="00AE72F6">
        <w:rPr>
          <w:rFonts w:ascii="Times New Roman" w:hAnsi="Times New Roman" w:cs="Times New Roman"/>
        </w:rPr>
        <w:t xml:space="preserve">,5 </w:t>
      </w:r>
      <w:proofErr w:type="spellStart"/>
      <w:r w:rsidR="00AE72F6">
        <w:rPr>
          <w:rFonts w:ascii="Times New Roman" w:hAnsi="Times New Roman" w:cs="Times New Roman"/>
        </w:rPr>
        <w:t>mlrd</w:t>
      </w:r>
      <w:proofErr w:type="spellEnd"/>
      <w:r w:rsidRPr="00FA7F54">
        <w:rPr>
          <w:rFonts w:ascii="Times New Roman" w:hAnsi="Times New Roman" w:cs="Times New Roman"/>
        </w:rPr>
        <w:t xml:space="preserve"> kuna. </w:t>
      </w:r>
      <w:r w:rsidR="001601D1" w:rsidRPr="00FA7F54">
        <w:rPr>
          <w:rFonts w:ascii="Times New Roman" w:hAnsi="Times New Roman" w:cs="Times New Roman"/>
        </w:rPr>
        <w:t>Najveći udio u ovim rashodima (83</w:t>
      </w:r>
      <w:r w:rsidR="00AE72F6">
        <w:rPr>
          <w:rFonts w:ascii="Times New Roman" w:hAnsi="Times New Roman" w:cs="Times New Roman"/>
        </w:rPr>
        <w:t>%</w:t>
      </w:r>
      <w:r w:rsidR="001601D1" w:rsidRPr="00FA7F54">
        <w:rPr>
          <w:rFonts w:ascii="Times New Roman" w:hAnsi="Times New Roman" w:cs="Times New Roman"/>
        </w:rPr>
        <w:t>) odnosi se na zdravstvene ustanove</w:t>
      </w:r>
      <w:r w:rsidR="00FD3E9A" w:rsidRPr="00FA7F54">
        <w:rPr>
          <w:rFonts w:ascii="Times New Roman" w:hAnsi="Times New Roman" w:cs="Times New Roman"/>
        </w:rPr>
        <w:t xml:space="preserve"> u državnom vlasništvu.</w:t>
      </w:r>
      <w:r w:rsidR="005E663A" w:rsidRPr="00FA7F54">
        <w:rPr>
          <w:rFonts w:ascii="Times New Roman" w:hAnsi="Times New Roman" w:cs="Times New Roman"/>
        </w:rPr>
        <w:t xml:space="preserve"> Kod agencija se također 90</w:t>
      </w:r>
      <w:r w:rsidR="00AE72F6">
        <w:rPr>
          <w:rFonts w:ascii="Times New Roman" w:hAnsi="Times New Roman" w:cs="Times New Roman"/>
        </w:rPr>
        <w:t>%</w:t>
      </w:r>
      <w:r w:rsidR="005E663A" w:rsidRPr="00FA7F54">
        <w:rPr>
          <w:rFonts w:ascii="Times New Roman" w:hAnsi="Times New Roman" w:cs="Times New Roman"/>
        </w:rPr>
        <w:t xml:space="preserve"> odnosi na agencije u zdravstvu (Hrvatski zavod za transfuzijsku medicinu i Hrvatski zavod za javno zdravstvo)</w:t>
      </w:r>
      <w:r w:rsidR="00DE1DD8" w:rsidRPr="00FA7F54">
        <w:rPr>
          <w:rFonts w:ascii="Times New Roman" w:hAnsi="Times New Roman" w:cs="Times New Roman"/>
        </w:rPr>
        <w:t xml:space="preserve">, </w:t>
      </w:r>
      <w:r w:rsidR="00DE1DD8" w:rsidRPr="00FA7F54">
        <w:rPr>
          <w:rFonts w:ascii="Times New Roman" w:hAnsi="Times New Roman" w:cs="Times New Roman"/>
        </w:rPr>
        <w:lastRenderedPageBreak/>
        <w:t>a ostatak na agencije u poljoprivredi</w:t>
      </w:r>
      <w:r w:rsidR="005E663A" w:rsidRPr="00FA7F54">
        <w:rPr>
          <w:rFonts w:ascii="Times New Roman" w:hAnsi="Times New Roman" w:cs="Times New Roman"/>
        </w:rPr>
        <w:t>.</w:t>
      </w:r>
      <w:r w:rsidR="007F6BCA" w:rsidRPr="00FA7F54">
        <w:rPr>
          <w:rFonts w:ascii="Times New Roman" w:hAnsi="Times New Roman" w:cs="Times New Roman"/>
        </w:rPr>
        <w:t xml:space="preserve"> U tijelima izvršne vlasti 50</w:t>
      </w:r>
      <w:r w:rsidR="00AE72F6">
        <w:rPr>
          <w:rFonts w:ascii="Times New Roman" w:hAnsi="Times New Roman" w:cs="Times New Roman"/>
        </w:rPr>
        <w:t>%</w:t>
      </w:r>
      <w:r w:rsidR="007F6BCA" w:rsidRPr="00FA7F54">
        <w:rPr>
          <w:rFonts w:ascii="Times New Roman" w:hAnsi="Times New Roman" w:cs="Times New Roman"/>
        </w:rPr>
        <w:t xml:space="preserve"> od ukupnog iznosa odnosi se na MUP, a ostatak na Ministarstvo socijalne politike i mladih i MORH.</w:t>
      </w:r>
      <w:r w:rsidR="00D154E8" w:rsidRPr="00FA7F54">
        <w:rPr>
          <w:rFonts w:ascii="Times New Roman" w:hAnsi="Times New Roman" w:cs="Times New Roman"/>
        </w:rPr>
        <w:t xml:space="preserve"> Kod ostalih državnih tijela najveći dio odnosi se na Državni hidrometeorološki zavod.</w:t>
      </w:r>
    </w:p>
    <w:p w:rsidR="009835A2" w:rsidRPr="00AE72F6" w:rsidRDefault="009835A2" w:rsidP="006B7B79">
      <w:pPr>
        <w:pStyle w:val="Opisslike"/>
        <w:spacing w:after="0"/>
        <w:jc w:val="both"/>
        <w:rPr>
          <w:rFonts w:ascii="Times New Roman" w:hAnsi="Times New Roman" w:cs="Times New Roman"/>
          <w:sz w:val="20"/>
          <w:szCs w:val="20"/>
        </w:rPr>
      </w:pPr>
      <w:bookmarkStart w:id="45" w:name="_Toc436402267"/>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20</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 xml:space="preserve">: </w:t>
      </w:r>
      <w:r w:rsidR="008D57C6" w:rsidRPr="006B7B79">
        <w:rPr>
          <w:rFonts w:ascii="Times New Roman" w:hAnsi="Times New Roman" w:cs="Times New Roman"/>
          <w:sz w:val="20"/>
          <w:szCs w:val="20"/>
        </w:rPr>
        <w:t xml:space="preserve">Materijal i sirovine prema podacima iskazanim u financijskim izvještajima proračunskih i izvanproračunskih korisnika za 2013. i 2014. </w:t>
      </w:r>
      <w:r w:rsidR="00984E0D" w:rsidRPr="006B7B79">
        <w:rPr>
          <w:rFonts w:ascii="Times New Roman" w:hAnsi="Times New Roman" w:cs="Times New Roman"/>
          <w:sz w:val="20"/>
          <w:szCs w:val="20"/>
        </w:rPr>
        <w:t>g</w:t>
      </w:r>
      <w:r w:rsidR="008D57C6" w:rsidRPr="006B7B79">
        <w:rPr>
          <w:rFonts w:ascii="Times New Roman" w:hAnsi="Times New Roman" w:cs="Times New Roman"/>
          <w:sz w:val="20"/>
          <w:szCs w:val="20"/>
        </w:rPr>
        <w:t>odinu</w:t>
      </w:r>
      <w:r w:rsidR="00984E0D" w:rsidRPr="006B7B79">
        <w:rPr>
          <w:rFonts w:ascii="Times New Roman" w:hAnsi="Times New Roman" w:cs="Times New Roman"/>
          <w:sz w:val="20"/>
          <w:szCs w:val="20"/>
        </w:rPr>
        <w:t xml:space="preserve"> te planu Državnog proračuna za 2015. godinu</w:t>
      </w:r>
      <w:bookmarkEnd w:id="45"/>
    </w:p>
    <w:p w:rsidR="00EA4D21" w:rsidRPr="00FA7F54" w:rsidRDefault="00A6649F" w:rsidP="00481506">
      <w:pPr>
        <w:spacing w:line="240" w:lineRule="auto"/>
        <w:jc w:val="both"/>
        <w:rPr>
          <w:rFonts w:ascii="Times New Roman" w:hAnsi="Times New Roman" w:cs="Times New Roman"/>
        </w:rPr>
      </w:pPr>
      <w:r w:rsidRPr="00FA7F54">
        <w:rPr>
          <w:noProof/>
          <w:lang w:eastAsia="hr-HR"/>
        </w:rPr>
        <w:drawing>
          <wp:inline distT="0" distB="0" distL="0" distR="0" wp14:anchorId="2107474F" wp14:editId="2F4770D3">
            <wp:extent cx="5760720" cy="3212889"/>
            <wp:effectExtent l="0" t="0" r="0" b="698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3212889"/>
                    </a:xfrm>
                    <a:prstGeom prst="rect">
                      <a:avLst/>
                    </a:prstGeom>
                    <a:noFill/>
                    <a:ln>
                      <a:noFill/>
                    </a:ln>
                  </pic:spPr>
                </pic:pic>
              </a:graphicData>
            </a:graphic>
          </wp:inline>
        </w:drawing>
      </w:r>
    </w:p>
    <w:p w:rsidR="00EC2DEE" w:rsidRPr="0089748E" w:rsidRDefault="00727F3F" w:rsidP="0089748E">
      <w:pPr>
        <w:spacing w:line="240" w:lineRule="auto"/>
        <w:jc w:val="both"/>
        <w:rPr>
          <w:rFonts w:ascii="Times New Roman" w:hAnsi="Times New Roman" w:cs="Times New Roman"/>
        </w:rPr>
      </w:pPr>
      <w:r w:rsidRPr="00FA7F54">
        <w:rPr>
          <w:rFonts w:ascii="Times New Roman" w:hAnsi="Times New Roman" w:cs="Times New Roman"/>
        </w:rPr>
        <w:t xml:space="preserve">U državnom je proračunu u 2015. godini </w:t>
      </w:r>
      <w:r w:rsidR="00AE72F6" w:rsidRPr="00FA7F54">
        <w:rPr>
          <w:rFonts w:ascii="Times New Roman" w:hAnsi="Times New Roman" w:cs="Times New Roman"/>
        </w:rPr>
        <w:t>planiran</w:t>
      </w:r>
      <w:r w:rsidR="00AE72F6">
        <w:rPr>
          <w:rFonts w:ascii="Times New Roman" w:hAnsi="Times New Roman" w:cs="Times New Roman"/>
        </w:rPr>
        <w:t>a</w:t>
      </w:r>
      <w:r w:rsidR="00AE72F6" w:rsidRPr="00FA7F54">
        <w:rPr>
          <w:rFonts w:ascii="Times New Roman" w:hAnsi="Times New Roman" w:cs="Times New Roman"/>
        </w:rPr>
        <w:t xml:space="preserve"> </w:t>
      </w:r>
      <w:r w:rsidRPr="00FA7F54">
        <w:rPr>
          <w:rFonts w:ascii="Times New Roman" w:hAnsi="Times New Roman" w:cs="Times New Roman"/>
        </w:rPr>
        <w:t>je 1</w:t>
      </w:r>
      <w:r w:rsidR="00AE72F6">
        <w:rPr>
          <w:rFonts w:ascii="Times New Roman" w:hAnsi="Times New Roman" w:cs="Times New Roman"/>
        </w:rPr>
        <w:t xml:space="preserve"> mlrd. kuna</w:t>
      </w:r>
      <w:r w:rsidRPr="00FA7F54">
        <w:rPr>
          <w:rFonts w:ascii="Times New Roman" w:hAnsi="Times New Roman" w:cs="Times New Roman"/>
        </w:rPr>
        <w:t xml:space="preserve"> od čega 126 mil.</w:t>
      </w:r>
      <w:r w:rsidR="00AE72F6">
        <w:rPr>
          <w:rFonts w:ascii="Times New Roman" w:hAnsi="Times New Roman" w:cs="Times New Roman"/>
        </w:rPr>
        <w:t xml:space="preserve"> kuna</w:t>
      </w:r>
      <w:r w:rsidRPr="00FA7F54">
        <w:rPr>
          <w:rFonts w:ascii="Times New Roman" w:hAnsi="Times New Roman" w:cs="Times New Roman"/>
        </w:rPr>
        <w:t xml:space="preserve"> iz izvora u limitu. Materijal i sirovine se iz izvora u limitu</w:t>
      </w:r>
      <w:r w:rsidR="00D831E0" w:rsidRPr="00FA7F54">
        <w:rPr>
          <w:rFonts w:ascii="Times New Roman" w:hAnsi="Times New Roman" w:cs="Times New Roman"/>
        </w:rPr>
        <w:t xml:space="preserve"> financiraju</w:t>
      </w:r>
      <w:r w:rsidRPr="00FA7F54">
        <w:rPr>
          <w:rFonts w:ascii="Times New Roman" w:hAnsi="Times New Roman" w:cs="Times New Roman"/>
        </w:rPr>
        <w:t xml:space="preserve"> u sustavu socijalne sk</w:t>
      </w:r>
      <w:r w:rsidR="008C6982" w:rsidRPr="00FA7F54">
        <w:rPr>
          <w:rFonts w:ascii="Times New Roman" w:hAnsi="Times New Roman" w:cs="Times New Roman"/>
        </w:rPr>
        <w:t>rbi i u tijelima sudbene vlasti</w:t>
      </w:r>
      <w:r w:rsidR="00F8373B" w:rsidRPr="00FA7F54">
        <w:rPr>
          <w:rFonts w:ascii="Times New Roman" w:hAnsi="Times New Roman" w:cs="Times New Roman"/>
        </w:rPr>
        <w:t xml:space="preserve"> (kaznionice)</w:t>
      </w:r>
      <w:r w:rsidR="008C6982" w:rsidRPr="00FA7F54">
        <w:rPr>
          <w:rFonts w:ascii="Times New Roman" w:hAnsi="Times New Roman" w:cs="Times New Roman"/>
        </w:rPr>
        <w:t>, a kod tijela izvršne vlasti u MUP-u i MORH-u te kod Državnog hidrometeorološkog zavoda.</w:t>
      </w:r>
      <w:r w:rsidR="004F1FCF" w:rsidRPr="00FA7F54">
        <w:rPr>
          <w:rFonts w:ascii="Times New Roman" w:hAnsi="Times New Roman" w:cs="Times New Roman"/>
        </w:rPr>
        <w:t xml:space="preserve"> </w:t>
      </w:r>
    </w:p>
    <w:p w:rsidR="009835A2" w:rsidRPr="00AE72F6" w:rsidRDefault="009835A2" w:rsidP="006B7B79">
      <w:pPr>
        <w:pStyle w:val="Opisslike"/>
        <w:spacing w:after="0"/>
        <w:jc w:val="both"/>
        <w:rPr>
          <w:rFonts w:ascii="Times New Roman" w:hAnsi="Times New Roman" w:cs="Times New Roman"/>
          <w:sz w:val="20"/>
          <w:szCs w:val="20"/>
        </w:rPr>
      </w:pPr>
      <w:bookmarkStart w:id="46" w:name="_Toc436402268"/>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21</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 xml:space="preserve">: </w:t>
      </w:r>
      <w:r w:rsidR="00EC2DEE" w:rsidRPr="006B7B79">
        <w:rPr>
          <w:rFonts w:ascii="Times New Roman" w:hAnsi="Times New Roman" w:cs="Times New Roman"/>
          <w:sz w:val="20"/>
          <w:szCs w:val="20"/>
        </w:rPr>
        <w:t>Materijal i sirovine prema podacima iskazanim u državnom proračunu – izvršenje za 2014. (u mil.</w:t>
      </w:r>
      <w:r w:rsidR="00AE72F6">
        <w:rPr>
          <w:rFonts w:ascii="Times New Roman" w:hAnsi="Times New Roman" w:cs="Times New Roman"/>
          <w:sz w:val="20"/>
          <w:szCs w:val="20"/>
        </w:rPr>
        <w:t xml:space="preserve"> kuna</w:t>
      </w:r>
      <w:r w:rsidR="00EC2DEE" w:rsidRPr="006B7B79">
        <w:rPr>
          <w:rFonts w:ascii="Times New Roman" w:hAnsi="Times New Roman" w:cs="Times New Roman"/>
          <w:sz w:val="20"/>
          <w:szCs w:val="20"/>
        </w:rPr>
        <w:t>)</w:t>
      </w:r>
      <w:bookmarkEnd w:id="46"/>
    </w:p>
    <w:tbl>
      <w:tblPr>
        <w:tblW w:w="7660" w:type="dxa"/>
        <w:jc w:val="center"/>
        <w:tblInd w:w="93" w:type="dxa"/>
        <w:tblLook w:val="04A0" w:firstRow="1" w:lastRow="0" w:firstColumn="1" w:lastColumn="0" w:noHBand="0" w:noVBand="1"/>
      </w:tblPr>
      <w:tblGrid>
        <w:gridCol w:w="1300"/>
        <w:gridCol w:w="1060"/>
        <w:gridCol w:w="1060"/>
        <w:gridCol w:w="1060"/>
        <w:gridCol w:w="1060"/>
        <w:gridCol w:w="1060"/>
        <w:gridCol w:w="1060"/>
      </w:tblGrid>
      <w:tr w:rsidR="00037DEB" w:rsidRPr="00EC2DEE" w:rsidTr="00AE72F6">
        <w:trPr>
          <w:trHeight w:val="825"/>
          <w:jc w:val="center"/>
        </w:trPr>
        <w:tc>
          <w:tcPr>
            <w:tcW w:w="1300"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037DEB" w:rsidRPr="00EC2DEE" w:rsidRDefault="00037DEB" w:rsidP="00AE72F6">
            <w:pPr>
              <w:spacing w:after="0" w:line="240" w:lineRule="auto"/>
              <w:jc w:val="center"/>
              <w:rPr>
                <w:rFonts w:ascii="Arial" w:eastAsia="Times New Roman" w:hAnsi="Arial" w:cs="Arial"/>
                <w:b/>
                <w:bCs/>
                <w:sz w:val="16"/>
                <w:szCs w:val="16"/>
                <w:lang w:eastAsia="hr-HR"/>
              </w:rPr>
            </w:pPr>
            <w:r w:rsidRPr="00EC2DEE">
              <w:rPr>
                <w:rFonts w:ascii="Arial" w:eastAsia="Times New Roman" w:hAnsi="Arial" w:cs="Arial"/>
                <w:b/>
                <w:bCs/>
                <w:sz w:val="16"/>
                <w:szCs w:val="16"/>
                <w:lang w:eastAsia="hr-HR"/>
              </w:rPr>
              <w:t>Izvršenje 2014.</w:t>
            </w:r>
          </w:p>
        </w:tc>
        <w:tc>
          <w:tcPr>
            <w:tcW w:w="1060" w:type="dxa"/>
            <w:tcBorders>
              <w:top w:val="single" w:sz="4" w:space="0" w:color="000080"/>
              <w:left w:val="nil"/>
              <w:bottom w:val="single" w:sz="4" w:space="0" w:color="000080"/>
              <w:right w:val="single" w:sz="4" w:space="0" w:color="000080"/>
            </w:tcBorders>
            <w:shd w:val="clear" w:color="000000" w:fill="DCE6F1"/>
            <w:vAlign w:val="center"/>
            <w:hideMark/>
          </w:tcPr>
          <w:p w:rsidR="00037DEB" w:rsidRPr="00EC2DEE" w:rsidRDefault="00037DEB" w:rsidP="00AE72F6">
            <w:pPr>
              <w:spacing w:after="0" w:line="240" w:lineRule="auto"/>
              <w:jc w:val="center"/>
              <w:rPr>
                <w:rFonts w:ascii="Arial" w:eastAsia="Times New Roman" w:hAnsi="Arial" w:cs="Arial"/>
                <w:b/>
                <w:sz w:val="16"/>
                <w:szCs w:val="16"/>
                <w:lang w:eastAsia="hr-HR"/>
              </w:rPr>
            </w:pPr>
            <w:r w:rsidRPr="00EC2DEE">
              <w:rPr>
                <w:rFonts w:ascii="Arial" w:eastAsia="Times New Roman" w:hAnsi="Arial" w:cs="Arial"/>
                <w:b/>
                <w:sz w:val="16"/>
                <w:szCs w:val="16"/>
                <w:lang w:eastAsia="hr-HR"/>
              </w:rPr>
              <w:t>Materijal i sirovine</w:t>
            </w:r>
          </w:p>
        </w:tc>
        <w:tc>
          <w:tcPr>
            <w:tcW w:w="1060" w:type="dxa"/>
            <w:tcBorders>
              <w:top w:val="single" w:sz="4" w:space="0" w:color="000080"/>
              <w:left w:val="nil"/>
              <w:bottom w:val="single" w:sz="4" w:space="0" w:color="000080"/>
              <w:right w:val="single" w:sz="4" w:space="0" w:color="000080"/>
            </w:tcBorders>
            <w:shd w:val="clear" w:color="000000" w:fill="DCE6F1"/>
            <w:vAlign w:val="center"/>
            <w:hideMark/>
          </w:tcPr>
          <w:p w:rsidR="00037DEB" w:rsidRPr="00EC2DEE" w:rsidRDefault="00037DEB" w:rsidP="00AE72F6">
            <w:pPr>
              <w:spacing w:after="0" w:line="240" w:lineRule="auto"/>
              <w:jc w:val="center"/>
              <w:rPr>
                <w:rFonts w:ascii="Arial" w:eastAsia="Times New Roman" w:hAnsi="Arial" w:cs="Arial"/>
                <w:sz w:val="16"/>
                <w:szCs w:val="16"/>
                <w:lang w:eastAsia="hr-HR"/>
              </w:rPr>
            </w:pPr>
            <w:r w:rsidRPr="00EC2DEE">
              <w:rPr>
                <w:rFonts w:ascii="Arial" w:eastAsia="Times New Roman" w:hAnsi="Arial" w:cs="Arial"/>
                <w:sz w:val="16"/>
                <w:szCs w:val="16"/>
                <w:lang w:eastAsia="hr-HR"/>
              </w:rPr>
              <w:t>Osnovni materijal i sirovine</w:t>
            </w:r>
          </w:p>
        </w:tc>
        <w:tc>
          <w:tcPr>
            <w:tcW w:w="1060" w:type="dxa"/>
            <w:tcBorders>
              <w:top w:val="single" w:sz="4" w:space="0" w:color="000080"/>
              <w:left w:val="nil"/>
              <w:bottom w:val="single" w:sz="4" w:space="0" w:color="000080"/>
              <w:right w:val="single" w:sz="4" w:space="0" w:color="000080"/>
            </w:tcBorders>
            <w:shd w:val="clear" w:color="000000" w:fill="DCE6F1"/>
            <w:vAlign w:val="center"/>
            <w:hideMark/>
          </w:tcPr>
          <w:p w:rsidR="00037DEB" w:rsidRPr="00EC2DEE" w:rsidRDefault="00037DEB" w:rsidP="00AE72F6">
            <w:pPr>
              <w:spacing w:after="0" w:line="240" w:lineRule="auto"/>
              <w:jc w:val="center"/>
              <w:rPr>
                <w:rFonts w:ascii="Arial" w:eastAsia="Times New Roman" w:hAnsi="Arial" w:cs="Arial"/>
                <w:sz w:val="16"/>
                <w:szCs w:val="16"/>
                <w:lang w:eastAsia="hr-HR"/>
              </w:rPr>
            </w:pPr>
            <w:r w:rsidRPr="00EC2DEE">
              <w:rPr>
                <w:rFonts w:ascii="Arial" w:eastAsia="Times New Roman" w:hAnsi="Arial" w:cs="Arial"/>
                <w:sz w:val="16"/>
                <w:szCs w:val="16"/>
                <w:lang w:eastAsia="hr-HR"/>
              </w:rPr>
              <w:t>Pomoćni materijal</w:t>
            </w:r>
          </w:p>
        </w:tc>
        <w:tc>
          <w:tcPr>
            <w:tcW w:w="1060" w:type="dxa"/>
            <w:tcBorders>
              <w:top w:val="single" w:sz="4" w:space="0" w:color="000080"/>
              <w:left w:val="nil"/>
              <w:bottom w:val="single" w:sz="4" w:space="0" w:color="000080"/>
              <w:right w:val="single" w:sz="4" w:space="0" w:color="000080"/>
            </w:tcBorders>
            <w:shd w:val="clear" w:color="000000" w:fill="DCE6F1"/>
            <w:vAlign w:val="center"/>
            <w:hideMark/>
          </w:tcPr>
          <w:p w:rsidR="00037DEB" w:rsidRPr="00EC2DEE" w:rsidRDefault="00037DEB" w:rsidP="00AE72F6">
            <w:pPr>
              <w:spacing w:after="0" w:line="240" w:lineRule="auto"/>
              <w:jc w:val="center"/>
              <w:rPr>
                <w:rFonts w:ascii="Arial" w:eastAsia="Times New Roman" w:hAnsi="Arial" w:cs="Arial"/>
                <w:sz w:val="16"/>
                <w:szCs w:val="16"/>
                <w:lang w:eastAsia="hr-HR"/>
              </w:rPr>
            </w:pPr>
            <w:r w:rsidRPr="00EC2DEE">
              <w:rPr>
                <w:rFonts w:ascii="Arial" w:eastAsia="Times New Roman" w:hAnsi="Arial" w:cs="Arial"/>
                <w:sz w:val="16"/>
                <w:szCs w:val="16"/>
                <w:lang w:eastAsia="hr-HR"/>
              </w:rPr>
              <w:t>Namirnice</w:t>
            </w:r>
          </w:p>
        </w:tc>
        <w:tc>
          <w:tcPr>
            <w:tcW w:w="1060" w:type="dxa"/>
            <w:tcBorders>
              <w:top w:val="single" w:sz="4" w:space="0" w:color="000080"/>
              <w:left w:val="nil"/>
              <w:bottom w:val="single" w:sz="4" w:space="0" w:color="000080"/>
              <w:right w:val="single" w:sz="4" w:space="0" w:color="000080"/>
            </w:tcBorders>
            <w:shd w:val="clear" w:color="000000" w:fill="DCE6F1"/>
            <w:vAlign w:val="center"/>
            <w:hideMark/>
          </w:tcPr>
          <w:p w:rsidR="00037DEB" w:rsidRPr="00EC2DEE" w:rsidRDefault="00037DEB" w:rsidP="00AE72F6">
            <w:pPr>
              <w:spacing w:after="0" w:line="240" w:lineRule="auto"/>
              <w:jc w:val="center"/>
              <w:rPr>
                <w:rFonts w:ascii="Arial" w:eastAsia="Times New Roman" w:hAnsi="Arial" w:cs="Arial"/>
                <w:sz w:val="16"/>
                <w:szCs w:val="16"/>
                <w:lang w:eastAsia="hr-HR"/>
              </w:rPr>
            </w:pPr>
            <w:r w:rsidRPr="00EC2DEE">
              <w:rPr>
                <w:rFonts w:ascii="Arial" w:eastAsia="Times New Roman" w:hAnsi="Arial" w:cs="Arial"/>
                <w:sz w:val="16"/>
                <w:szCs w:val="16"/>
                <w:lang w:eastAsia="hr-HR"/>
              </w:rPr>
              <w:t>Roba</w:t>
            </w:r>
          </w:p>
        </w:tc>
        <w:tc>
          <w:tcPr>
            <w:tcW w:w="1060" w:type="dxa"/>
            <w:tcBorders>
              <w:top w:val="single" w:sz="4" w:space="0" w:color="000080"/>
              <w:left w:val="nil"/>
              <w:bottom w:val="single" w:sz="4" w:space="0" w:color="000080"/>
              <w:right w:val="single" w:sz="4" w:space="0" w:color="000080"/>
            </w:tcBorders>
            <w:shd w:val="clear" w:color="000000" w:fill="DCE6F1"/>
            <w:vAlign w:val="center"/>
            <w:hideMark/>
          </w:tcPr>
          <w:p w:rsidR="00037DEB" w:rsidRPr="00EC2DEE" w:rsidRDefault="00037DEB" w:rsidP="00AE72F6">
            <w:pPr>
              <w:spacing w:after="0" w:line="240" w:lineRule="auto"/>
              <w:jc w:val="center"/>
              <w:rPr>
                <w:rFonts w:ascii="Arial" w:eastAsia="Times New Roman" w:hAnsi="Arial" w:cs="Arial"/>
                <w:sz w:val="16"/>
                <w:szCs w:val="16"/>
                <w:lang w:eastAsia="hr-HR"/>
              </w:rPr>
            </w:pPr>
            <w:r w:rsidRPr="00EC2DEE">
              <w:rPr>
                <w:rFonts w:ascii="Arial" w:eastAsia="Times New Roman" w:hAnsi="Arial" w:cs="Arial"/>
                <w:sz w:val="16"/>
                <w:szCs w:val="16"/>
                <w:lang w:eastAsia="hr-HR"/>
              </w:rPr>
              <w:t>Ostali materijal i sirovine</w:t>
            </w:r>
          </w:p>
        </w:tc>
      </w:tr>
      <w:tr w:rsidR="00037DEB" w:rsidRPr="00EC2DEE" w:rsidTr="00AE72F6">
        <w:trPr>
          <w:trHeight w:val="300"/>
          <w:jc w:val="center"/>
        </w:trPr>
        <w:tc>
          <w:tcPr>
            <w:tcW w:w="1300" w:type="dxa"/>
            <w:tcBorders>
              <w:top w:val="nil"/>
              <w:left w:val="single" w:sz="4" w:space="0" w:color="000080"/>
              <w:bottom w:val="single" w:sz="4" w:space="0" w:color="000080"/>
              <w:right w:val="single" w:sz="4" w:space="0" w:color="000080"/>
            </w:tcBorders>
            <w:shd w:val="clear" w:color="000000" w:fill="DCE6F1"/>
            <w:noWrap/>
            <w:vAlign w:val="center"/>
            <w:hideMark/>
          </w:tcPr>
          <w:p w:rsidR="00037DEB" w:rsidRPr="00EC2DEE" w:rsidRDefault="00037DEB" w:rsidP="00EC2DEE">
            <w:pPr>
              <w:spacing w:after="0" w:line="240" w:lineRule="auto"/>
              <w:ind w:firstLineChars="200" w:firstLine="320"/>
              <w:rPr>
                <w:rFonts w:ascii="Arial" w:eastAsia="Times New Roman" w:hAnsi="Arial" w:cs="Arial"/>
                <w:sz w:val="16"/>
                <w:szCs w:val="16"/>
                <w:lang w:eastAsia="hr-HR"/>
              </w:rPr>
            </w:pPr>
            <w:r w:rsidRPr="00EC2DEE">
              <w:rPr>
                <w:rFonts w:ascii="Arial" w:eastAsia="Times New Roman" w:hAnsi="Arial" w:cs="Arial"/>
                <w:sz w:val="16"/>
                <w:szCs w:val="16"/>
                <w:lang w:eastAsia="hr-HR"/>
              </w:rPr>
              <w:t>- Ukupno</w:t>
            </w:r>
          </w:p>
        </w:tc>
        <w:tc>
          <w:tcPr>
            <w:tcW w:w="1060" w:type="dxa"/>
            <w:tcBorders>
              <w:top w:val="nil"/>
              <w:left w:val="nil"/>
              <w:bottom w:val="single" w:sz="4" w:space="0" w:color="000080"/>
              <w:right w:val="single" w:sz="4" w:space="0" w:color="000080"/>
            </w:tcBorders>
            <w:shd w:val="clear" w:color="000000" w:fill="DCE6F1"/>
            <w:noWrap/>
            <w:vAlign w:val="center"/>
            <w:hideMark/>
          </w:tcPr>
          <w:p w:rsidR="00037DEB" w:rsidRPr="00EC2DEE" w:rsidRDefault="00037DEB" w:rsidP="00037DEB">
            <w:pPr>
              <w:spacing w:after="0" w:line="240" w:lineRule="auto"/>
              <w:jc w:val="right"/>
              <w:rPr>
                <w:rFonts w:ascii="Arial" w:eastAsia="Times New Roman" w:hAnsi="Arial" w:cs="Arial"/>
                <w:b/>
                <w:color w:val="000000"/>
                <w:sz w:val="16"/>
                <w:szCs w:val="16"/>
                <w:lang w:eastAsia="hr-HR"/>
              </w:rPr>
            </w:pPr>
            <w:r w:rsidRPr="00EC2DEE">
              <w:rPr>
                <w:rFonts w:ascii="Arial" w:eastAsia="Times New Roman" w:hAnsi="Arial" w:cs="Arial"/>
                <w:b/>
                <w:color w:val="000000"/>
                <w:sz w:val="16"/>
                <w:szCs w:val="16"/>
                <w:lang w:eastAsia="hr-HR"/>
              </w:rPr>
              <w:t>201,832</w:t>
            </w:r>
          </w:p>
        </w:tc>
        <w:tc>
          <w:tcPr>
            <w:tcW w:w="1060" w:type="dxa"/>
            <w:tcBorders>
              <w:top w:val="nil"/>
              <w:left w:val="nil"/>
              <w:bottom w:val="single" w:sz="4" w:space="0" w:color="000080"/>
              <w:right w:val="single" w:sz="4" w:space="0" w:color="000080"/>
            </w:tcBorders>
            <w:shd w:val="clear" w:color="000000" w:fill="DCE6F1"/>
            <w:noWrap/>
            <w:vAlign w:val="center"/>
            <w:hideMark/>
          </w:tcPr>
          <w:p w:rsidR="00037DEB" w:rsidRPr="00EC2DEE" w:rsidRDefault="00037DEB" w:rsidP="00037DEB">
            <w:pPr>
              <w:spacing w:after="0" w:line="240" w:lineRule="auto"/>
              <w:jc w:val="right"/>
              <w:rPr>
                <w:rFonts w:ascii="Arial" w:eastAsia="Times New Roman" w:hAnsi="Arial" w:cs="Arial"/>
                <w:color w:val="000000"/>
                <w:sz w:val="16"/>
                <w:szCs w:val="16"/>
                <w:lang w:eastAsia="hr-HR"/>
              </w:rPr>
            </w:pPr>
            <w:r w:rsidRPr="00EC2DEE">
              <w:rPr>
                <w:rFonts w:ascii="Arial" w:eastAsia="Times New Roman" w:hAnsi="Arial" w:cs="Arial"/>
                <w:color w:val="000000"/>
                <w:sz w:val="16"/>
                <w:szCs w:val="16"/>
                <w:lang w:eastAsia="hr-HR"/>
              </w:rPr>
              <w:t>37,275</w:t>
            </w:r>
          </w:p>
        </w:tc>
        <w:tc>
          <w:tcPr>
            <w:tcW w:w="1060" w:type="dxa"/>
            <w:tcBorders>
              <w:top w:val="nil"/>
              <w:left w:val="nil"/>
              <w:bottom w:val="single" w:sz="4" w:space="0" w:color="000080"/>
              <w:right w:val="single" w:sz="4" w:space="0" w:color="000080"/>
            </w:tcBorders>
            <w:shd w:val="clear" w:color="000000" w:fill="DCE6F1"/>
            <w:noWrap/>
            <w:vAlign w:val="center"/>
            <w:hideMark/>
          </w:tcPr>
          <w:p w:rsidR="00037DEB" w:rsidRPr="00EC2DEE" w:rsidRDefault="00037DEB" w:rsidP="00037DEB">
            <w:pPr>
              <w:spacing w:after="0" w:line="240" w:lineRule="auto"/>
              <w:jc w:val="right"/>
              <w:rPr>
                <w:rFonts w:ascii="Arial" w:eastAsia="Times New Roman" w:hAnsi="Arial" w:cs="Arial"/>
                <w:color w:val="000000"/>
                <w:sz w:val="16"/>
                <w:szCs w:val="16"/>
                <w:lang w:eastAsia="hr-HR"/>
              </w:rPr>
            </w:pPr>
            <w:r w:rsidRPr="00EC2DEE">
              <w:rPr>
                <w:rFonts w:ascii="Arial" w:eastAsia="Times New Roman" w:hAnsi="Arial" w:cs="Arial"/>
                <w:color w:val="000000"/>
                <w:sz w:val="16"/>
                <w:szCs w:val="16"/>
                <w:lang w:eastAsia="hr-HR"/>
              </w:rPr>
              <w:t>,573</w:t>
            </w:r>
          </w:p>
        </w:tc>
        <w:tc>
          <w:tcPr>
            <w:tcW w:w="1060" w:type="dxa"/>
            <w:tcBorders>
              <w:top w:val="nil"/>
              <w:left w:val="nil"/>
              <w:bottom w:val="single" w:sz="4" w:space="0" w:color="000080"/>
              <w:right w:val="single" w:sz="4" w:space="0" w:color="000080"/>
            </w:tcBorders>
            <w:shd w:val="clear" w:color="000000" w:fill="DCE6F1"/>
            <w:noWrap/>
            <w:vAlign w:val="center"/>
            <w:hideMark/>
          </w:tcPr>
          <w:p w:rsidR="00037DEB" w:rsidRPr="00EC2DEE" w:rsidRDefault="00037DEB" w:rsidP="00037DEB">
            <w:pPr>
              <w:spacing w:after="0" w:line="240" w:lineRule="auto"/>
              <w:jc w:val="right"/>
              <w:rPr>
                <w:rFonts w:ascii="Arial" w:eastAsia="Times New Roman" w:hAnsi="Arial" w:cs="Arial"/>
                <w:color w:val="000000"/>
                <w:sz w:val="16"/>
                <w:szCs w:val="16"/>
                <w:lang w:eastAsia="hr-HR"/>
              </w:rPr>
            </w:pPr>
            <w:r w:rsidRPr="00EC2DEE">
              <w:rPr>
                <w:rFonts w:ascii="Arial" w:eastAsia="Times New Roman" w:hAnsi="Arial" w:cs="Arial"/>
                <w:color w:val="000000"/>
                <w:sz w:val="16"/>
                <w:szCs w:val="16"/>
                <w:lang w:eastAsia="hr-HR"/>
              </w:rPr>
              <w:t>134,004</w:t>
            </w:r>
          </w:p>
        </w:tc>
        <w:tc>
          <w:tcPr>
            <w:tcW w:w="1060" w:type="dxa"/>
            <w:tcBorders>
              <w:top w:val="nil"/>
              <w:left w:val="nil"/>
              <w:bottom w:val="single" w:sz="4" w:space="0" w:color="000080"/>
              <w:right w:val="single" w:sz="4" w:space="0" w:color="000080"/>
            </w:tcBorders>
            <w:shd w:val="clear" w:color="000000" w:fill="DCE6F1"/>
            <w:noWrap/>
            <w:vAlign w:val="center"/>
            <w:hideMark/>
          </w:tcPr>
          <w:p w:rsidR="00037DEB" w:rsidRPr="00EC2DEE" w:rsidRDefault="00037DEB" w:rsidP="00037DEB">
            <w:pPr>
              <w:spacing w:after="0" w:line="240" w:lineRule="auto"/>
              <w:jc w:val="right"/>
              <w:rPr>
                <w:rFonts w:ascii="Arial" w:eastAsia="Times New Roman" w:hAnsi="Arial" w:cs="Arial"/>
                <w:color w:val="000000"/>
                <w:sz w:val="16"/>
                <w:szCs w:val="16"/>
                <w:lang w:eastAsia="hr-HR"/>
              </w:rPr>
            </w:pPr>
            <w:r w:rsidRPr="00EC2DEE">
              <w:rPr>
                <w:rFonts w:ascii="Arial" w:eastAsia="Times New Roman" w:hAnsi="Arial" w:cs="Arial"/>
                <w:color w:val="000000"/>
                <w:sz w:val="16"/>
                <w:szCs w:val="16"/>
                <w:lang w:eastAsia="hr-HR"/>
              </w:rPr>
              <w:t>2,748</w:t>
            </w:r>
          </w:p>
        </w:tc>
        <w:tc>
          <w:tcPr>
            <w:tcW w:w="1060" w:type="dxa"/>
            <w:tcBorders>
              <w:top w:val="nil"/>
              <w:left w:val="nil"/>
              <w:bottom w:val="single" w:sz="4" w:space="0" w:color="000080"/>
              <w:right w:val="single" w:sz="4" w:space="0" w:color="000080"/>
            </w:tcBorders>
            <w:shd w:val="clear" w:color="000000" w:fill="DCE6F1"/>
            <w:noWrap/>
            <w:vAlign w:val="center"/>
            <w:hideMark/>
          </w:tcPr>
          <w:p w:rsidR="00037DEB" w:rsidRPr="00EC2DEE" w:rsidRDefault="00037DEB" w:rsidP="00037DEB">
            <w:pPr>
              <w:spacing w:after="0" w:line="240" w:lineRule="auto"/>
              <w:jc w:val="right"/>
              <w:rPr>
                <w:rFonts w:ascii="Arial" w:eastAsia="Times New Roman" w:hAnsi="Arial" w:cs="Arial"/>
                <w:color w:val="000000"/>
                <w:sz w:val="16"/>
                <w:szCs w:val="16"/>
                <w:lang w:eastAsia="hr-HR"/>
              </w:rPr>
            </w:pPr>
            <w:r w:rsidRPr="00EC2DEE">
              <w:rPr>
                <w:rFonts w:ascii="Arial" w:eastAsia="Times New Roman" w:hAnsi="Arial" w:cs="Arial"/>
                <w:color w:val="000000"/>
                <w:sz w:val="16"/>
                <w:szCs w:val="16"/>
                <w:lang w:eastAsia="hr-HR"/>
              </w:rPr>
              <w:t>27,233</w:t>
            </w:r>
          </w:p>
        </w:tc>
      </w:tr>
      <w:tr w:rsidR="00037DEB" w:rsidRPr="00EC2DEE" w:rsidTr="00AE72F6">
        <w:trPr>
          <w:trHeight w:val="300"/>
          <w:jc w:val="center"/>
        </w:trPr>
        <w:tc>
          <w:tcPr>
            <w:tcW w:w="1300" w:type="dxa"/>
            <w:tcBorders>
              <w:top w:val="nil"/>
              <w:left w:val="single" w:sz="4" w:space="0" w:color="000080"/>
              <w:bottom w:val="single" w:sz="4" w:space="0" w:color="000080"/>
              <w:right w:val="single" w:sz="4" w:space="0" w:color="000080"/>
            </w:tcBorders>
            <w:shd w:val="clear" w:color="auto" w:fill="auto"/>
            <w:noWrap/>
            <w:vAlign w:val="center"/>
            <w:hideMark/>
          </w:tcPr>
          <w:p w:rsidR="00037DEB" w:rsidRPr="00EC2DEE" w:rsidRDefault="00037DEB" w:rsidP="00EC2DEE">
            <w:pPr>
              <w:spacing w:after="0" w:line="240" w:lineRule="auto"/>
              <w:ind w:firstLineChars="200" w:firstLine="320"/>
              <w:rPr>
                <w:rFonts w:ascii="Arial" w:eastAsia="Times New Roman" w:hAnsi="Arial" w:cs="Arial"/>
                <w:sz w:val="16"/>
                <w:szCs w:val="16"/>
                <w:lang w:eastAsia="hr-HR"/>
              </w:rPr>
            </w:pPr>
            <w:r w:rsidRPr="00EC2DEE">
              <w:rPr>
                <w:rFonts w:ascii="Arial" w:eastAsia="Times New Roman" w:hAnsi="Arial" w:cs="Arial"/>
                <w:sz w:val="16"/>
                <w:szCs w:val="16"/>
                <w:lang w:eastAsia="hr-HR"/>
              </w:rPr>
              <w:t>- 1+2+8</w:t>
            </w:r>
          </w:p>
        </w:tc>
        <w:tc>
          <w:tcPr>
            <w:tcW w:w="1060" w:type="dxa"/>
            <w:tcBorders>
              <w:top w:val="nil"/>
              <w:left w:val="nil"/>
              <w:bottom w:val="single" w:sz="4" w:space="0" w:color="000080"/>
              <w:right w:val="single" w:sz="4" w:space="0" w:color="000080"/>
            </w:tcBorders>
            <w:shd w:val="clear" w:color="auto" w:fill="auto"/>
            <w:noWrap/>
            <w:vAlign w:val="center"/>
            <w:hideMark/>
          </w:tcPr>
          <w:p w:rsidR="00037DEB" w:rsidRPr="00EC2DEE" w:rsidRDefault="00037DEB" w:rsidP="00037DEB">
            <w:pPr>
              <w:spacing w:after="0" w:line="240" w:lineRule="auto"/>
              <w:jc w:val="right"/>
              <w:rPr>
                <w:rFonts w:ascii="Arial" w:eastAsia="Times New Roman" w:hAnsi="Arial" w:cs="Arial"/>
                <w:b/>
                <w:color w:val="000000"/>
                <w:sz w:val="16"/>
                <w:szCs w:val="16"/>
                <w:lang w:eastAsia="hr-HR"/>
              </w:rPr>
            </w:pPr>
            <w:r w:rsidRPr="00EC2DEE">
              <w:rPr>
                <w:rFonts w:ascii="Arial" w:eastAsia="Times New Roman" w:hAnsi="Arial" w:cs="Arial"/>
                <w:b/>
                <w:color w:val="000000"/>
                <w:sz w:val="16"/>
                <w:szCs w:val="16"/>
                <w:lang w:eastAsia="hr-HR"/>
              </w:rPr>
              <w:t>127,118</w:t>
            </w:r>
          </w:p>
        </w:tc>
        <w:tc>
          <w:tcPr>
            <w:tcW w:w="1060" w:type="dxa"/>
            <w:tcBorders>
              <w:top w:val="nil"/>
              <w:left w:val="nil"/>
              <w:bottom w:val="single" w:sz="4" w:space="0" w:color="000080"/>
              <w:right w:val="single" w:sz="4" w:space="0" w:color="000080"/>
            </w:tcBorders>
            <w:shd w:val="clear" w:color="auto" w:fill="auto"/>
            <w:noWrap/>
            <w:vAlign w:val="center"/>
            <w:hideMark/>
          </w:tcPr>
          <w:p w:rsidR="00037DEB" w:rsidRPr="00EC2DEE" w:rsidRDefault="00037DEB" w:rsidP="00037DEB">
            <w:pPr>
              <w:spacing w:after="0" w:line="240" w:lineRule="auto"/>
              <w:jc w:val="right"/>
              <w:rPr>
                <w:rFonts w:ascii="Arial" w:eastAsia="Times New Roman" w:hAnsi="Arial" w:cs="Arial"/>
                <w:color w:val="000000"/>
                <w:sz w:val="16"/>
                <w:szCs w:val="16"/>
                <w:lang w:eastAsia="hr-HR"/>
              </w:rPr>
            </w:pPr>
            <w:r w:rsidRPr="00EC2DEE">
              <w:rPr>
                <w:rFonts w:ascii="Arial" w:eastAsia="Times New Roman" w:hAnsi="Arial" w:cs="Arial"/>
                <w:color w:val="000000"/>
                <w:sz w:val="16"/>
                <w:szCs w:val="16"/>
                <w:lang w:eastAsia="hr-HR"/>
              </w:rPr>
              <w:t>19,5</w:t>
            </w:r>
            <w:r w:rsidR="00621AFE" w:rsidRPr="00EC2DEE">
              <w:rPr>
                <w:rFonts w:ascii="Arial" w:eastAsia="Times New Roman" w:hAnsi="Arial" w:cs="Arial"/>
                <w:color w:val="000000"/>
                <w:sz w:val="16"/>
                <w:szCs w:val="16"/>
                <w:lang w:eastAsia="hr-HR"/>
              </w:rPr>
              <w:t>00</w:t>
            </w:r>
          </w:p>
        </w:tc>
        <w:tc>
          <w:tcPr>
            <w:tcW w:w="1060" w:type="dxa"/>
            <w:tcBorders>
              <w:top w:val="nil"/>
              <w:left w:val="nil"/>
              <w:bottom w:val="single" w:sz="4" w:space="0" w:color="000080"/>
              <w:right w:val="single" w:sz="4" w:space="0" w:color="000080"/>
            </w:tcBorders>
            <w:shd w:val="clear" w:color="auto" w:fill="auto"/>
            <w:noWrap/>
            <w:vAlign w:val="center"/>
            <w:hideMark/>
          </w:tcPr>
          <w:p w:rsidR="00037DEB" w:rsidRPr="00EC2DEE" w:rsidRDefault="00037DEB" w:rsidP="00037DEB">
            <w:pPr>
              <w:spacing w:after="0" w:line="240" w:lineRule="auto"/>
              <w:jc w:val="right"/>
              <w:rPr>
                <w:rFonts w:ascii="Arial" w:eastAsia="Times New Roman" w:hAnsi="Arial" w:cs="Arial"/>
                <w:color w:val="000000"/>
                <w:sz w:val="16"/>
                <w:szCs w:val="16"/>
                <w:lang w:eastAsia="hr-HR"/>
              </w:rPr>
            </w:pPr>
            <w:r w:rsidRPr="00EC2DEE">
              <w:rPr>
                <w:rFonts w:ascii="Arial" w:eastAsia="Times New Roman" w:hAnsi="Arial" w:cs="Arial"/>
                <w:color w:val="000000"/>
                <w:sz w:val="16"/>
                <w:szCs w:val="16"/>
                <w:lang w:eastAsia="hr-HR"/>
              </w:rPr>
              <w:t>,464</w:t>
            </w:r>
          </w:p>
        </w:tc>
        <w:tc>
          <w:tcPr>
            <w:tcW w:w="1060" w:type="dxa"/>
            <w:tcBorders>
              <w:top w:val="nil"/>
              <w:left w:val="nil"/>
              <w:bottom w:val="single" w:sz="4" w:space="0" w:color="000080"/>
              <w:right w:val="single" w:sz="4" w:space="0" w:color="000080"/>
            </w:tcBorders>
            <w:shd w:val="clear" w:color="auto" w:fill="auto"/>
            <w:noWrap/>
            <w:vAlign w:val="center"/>
            <w:hideMark/>
          </w:tcPr>
          <w:p w:rsidR="00037DEB" w:rsidRPr="00EC2DEE" w:rsidRDefault="00037DEB" w:rsidP="00037DEB">
            <w:pPr>
              <w:spacing w:after="0" w:line="240" w:lineRule="auto"/>
              <w:jc w:val="right"/>
              <w:rPr>
                <w:rFonts w:ascii="Arial" w:eastAsia="Times New Roman" w:hAnsi="Arial" w:cs="Arial"/>
                <w:color w:val="000000"/>
                <w:sz w:val="16"/>
                <w:szCs w:val="16"/>
                <w:lang w:eastAsia="hr-HR"/>
              </w:rPr>
            </w:pPr>
            <w:r w:rsidRPr="00EC2DEE">
              <w:rPr>
                <w:rFonts w:ascii="Arial" w:eastAsia="Times New Roman" w:hAnsi="Arial" w:cs="Arial"/>
                <w:color w:val="000000"/>
                <w:sz w:val="16"/>
                <w:szCs w:val="16"/>
                <w:lang w:eastAsia="hr-HR"/>
              </w:rPr>
              <w:t>85,037</w:t>
            </w:r>
          </w:p>
        </w:tc>
        <w:tc>
          <w:tcPr>
            <w:tcW w:w="1060" w:type="dxa"/>
            <w:tcBorders>
              <w:top w:val="nil"/>
              <w:left w:val="nil"/>
              <w:bottom w:val="single" w:sz="4" w:space="0" w:color="000080"/>
              <w:right w:val="single" w:sz="4" w:space="0" w:color="000080"/>
            </w:tcBorders>
            <w:shd w:val="clear" w:color="auto" w:fill="auto"/>
            <w:noWrap/>
            <w:vAlign w:val="center"/>
            <w:hideMark/>
          </w:tcPr>
          <w:p w:rsidR="00037DEB" w:rsidRPr="00EC2DEE" w:rsidRDefault="00621AFE" w:rsidP="00037DEB">
            <w:pPr>
              <w:spacing w:after="0" w:line="240" w:lineRule="auto"/>
              <w:jc w:val="right"/>
              <w:rPr>
                <w:rFonts w:ascii="Arial" w:eastAsia="Times New Roman" w:hAnsi="Arial" w:cs="Arial"/>
                <w:color w:val="000000"/>
                <w:sz w:val="16"/>
                <w:szCs w:val="16"/>
                <w:lang w:eastAsia="hr-HR"/>
              </w:rPr>
            </w:pPr>
            <w:r w:rsidRPr="00EC2DEE">
              <w:rPr>
                <w:rFonts w:ascii="Arial" w:eastAsia="Times New Roman" w:hAnsi="Arial" w:cs="Arial"/>
                <w:color w:val="000000"/>
                <w:sz w:val="16"/>
                <w:szCs w:val="16"/>
                <w:lang w:eastAsia="hr-HR"/>
              </w:rPr>
              <w:t>0</w:t>
            </w:r>
            <w:r w:rsidR="00037DEB" w:rsidRPr="00EC2DEE">
              <w:rPr>
                <w:rFonts w:ascii="Arial" w:eastAsia="Times New Roman" w:hAnsi="Arial" w:cs="Arial"/>
                <w:color w:val="000000"/>
                <w:sz w:val="16"/>
                <w:szCs w:val="16"/>
                <w:lang w:eastAsia="hr-HR"/>
              </w:rPr>
              <w:t>,281</w:t>
            </w:r>
          </w:p>
        </w:tc>
        <w:tc>
          <w:tcPr>
            <w:tcW w:w="1060" w:type="dxa"/>
            <w:tcBorders>
              <w:top w:val="nil"/>
              <w:left w:val="nil"/>
              <w:bottom w:val="single" w:sz="4" w:space="0" w:color="000080"/>
              <w:right w:val="single" w:sz="4" w:space="0" w:color="000080"/>
            </w:tcBorders>
            <w:shd w:val="clear" w:color="auto" w:fill="auto"/>
            <w:noWrap/>
            <w:vAlign w:val="center"/>
            <w:hideMark/>
          </w:tcPr>
          <w:p w:rsidR="00037DEB" w:rsidRPr="00EC2DEE" w:rsidRDefault="00037DEB" w:rsidP="00037DEB">
            <w:pPr>
              <w:spacing w:after="0" w:line="240" w:lineRule="auto"/>
              <w:jc w:val="right"/>
              <w:rPr>
                <w:rFonts w:ascii="Arial" w:eastAsia="Times New Roman" w:hAnsi="Arial" w:cs="Arial"/>
                <w:color w:val="000000"/>
                <w:sz w:val="16"/>
                <w:szCs w:val="16"/>
                <w:lang w:eastAsia="hr-HR"/>
              </w:rPr>
            </w:pPr>
            <w:r w:rsidRPr="00EC2DEE">
              <w:rPr>
                <w:rFonts w:ascii="Arial" w:eastAsia="Times New Roman" w:hAnsi="Arial" w:cs="Arial"/>
                <w:color w:val="000000"/>
                <w:sz w:val="16"/>
                <w:szCs w:val="16"/>
                <w:lang w:eastAsia="hr-HR"/>
              </w:rPr>
              <w:t>21,836</w:t>
            </w:r>
          </w:p>
        </w:tc>
      </w:tr>
      <w:tr w:rsidR="00037DEB" w:rsidRPr="00EC2DEE" w:rsidTr="00AE72F6">
        <w:trPr>
          <w:trHeight w:val="300"/>
          <w:jc w:val="center"/>
        </w:trPr>
        <w:tc>
          <w:tcPr>
            <w:tcW w:w="1300" w:type="dxa"/>
            <w:tcBorders>
              <w:top w:val="nil"/>
              <w:left w:val="single" w:sz="4" w:space="0" w:color="000080"/>
              <w:bottom w:val="single" w:sz="4" w:space="0" w:color="000080"/>
              <w:right w:val="single" w:sz="4" w:space="0" w:color="000080"/>
            </w:tcBorders>
            <w:shd w:val="clear" w:color="auto" w:fill="auto"/>
            <w:noWrap/>
            <w:vAlign w:val="center"/>
            <w:hideMark/>
          </w:tcPr>
          <w:p w:rsidR="00037DEB" w:rsidRPr="00EC2DEE" w:rsidRDefault="00037DEB" w:rsidP="00EC2DEE">
            <w:pPr>
              <w:spacing w:after="0" w:line="240" w:lineRule="auto"/>
              <w:ind w:firstLineChars="200" w:firstLine="320"/>
              <w:rPr>
                <w:rFonts w:ascii="Arial" w:eastAsia="Times New Roman" w:hAnsi="Arial" w:cs="Arial"/>
                <w:sz w:val="16"/>
                <w:szCs w:val="16"/>
                <w:lang w:eastAsia="hr-HR"/>
              </w:rPr>
            </w:pPr>
            <w:r w:rsidRPr="00EC2DEE">
              <w:rPr>
                <w:rFonts w:ascii="Arial" w:eastAsia="Times New Roman" w:hAnsi="Arial" w:cs="Arial"/>
                <w:sz w:val="16"/>
                <w:szCs w:val="16"/>
                <w:lang w:eastAsia="hr-HR"/>
              </w:rPr>
              <w:t>- ostali izvori</w:t>
            </w:r>
          </w:p>
        </w:tc>
        <w:tc>
          <w:tcPr>
            <w:tcW w:w="1060" w:type="dxa"/>
            <w:tcBorders>
              <w:top w:val="nil"/>
              <w:left w:val="nil"/>
              <w:bottom w:val="single" w:sz="4" w:space="0" w:color="000080"/>
              <w:right w:val="single" w:sz="4" w:space="0" w:color="000080"/>
            </w:tcBorders>
            <w:shd w:val="clear" w:color="auto" w:fill="auto"/>
            <w:noWrap/>
            <w:vAlign w:val="center"/>
            <w:hideMark/>
          </w:tcPr>
          <w:p w:rsidR="00037DEB" w:rsidRPr="00EC2DEE" w:rsidRDefault="00037DEB" w:rsidP="00037DEB">
            <w:pPr>
              <w:spacing w:after="0" w:line="240" w:lineRule="auto"/>
              <w:jc w:val="right"/>
              <w:rPr>
                <w:rFonts w:ascii="Arial" w:eastAsia="Times New Roman" w:hAnsi="Arial" w:cs="Arial"/>
                <w:b/>
                <w:color w:val="000000"/>
                <w:sz w:val="16"/>
                <w:szCs w:val="16"/>
                <w:lang w:eastAsia="hr-HR"/>
              </w:rPr>
            </w:pPr>
            <w:r w:rsidRPr="00EC2DEE">
              <w:rPr>
                <w:rFonts w:ascii="Arial" w:eastAsia="Times New Roman" w:hAnsi="Arial" w:cs="Arial"/>
                <w:b/>
                <w:color w:val="000000"/>
                <w:sz w:val="16"/>
                <w:szCs w:val="16"/>
                <w:lang w:eastAsia="hr-HR"/>
              </w:rPr>
              <w:t>74,714</w:t>
            </w:r>
          </w:p>
        </w:tc>
        <w:tc>
          <w:tcPr>
            <w:tcW w:w="1060" w:type="dxa"/>
            <w:tcBorders>
              <w:top w:val="nil"/>
              <w:left w:val="nil"/>
              <w:bottom w:val="single" w:sz="4" w:space="0" w:color="000080"/>
              <w:right w:val="single" w:sz="4" w:space="0" w:color="000080"/>
            </w:tcBorders>
            <w:shd w:val="clear" w:color="auto" w:fill="auto"/>
            <w:noWrap/>
            <w:vAlign w:val="center"/>
            <w:hideMark/>
          </w:tcPr>
          <w:p w:rsidR="00037DEB" w:rsidRPr="00EC2DEE" w:rsidRDefault="00037DEB" w:rsidP="00037DEB">
            <w:pPr>
              <w:spacing w:after="0" w:line="240" w:lineRule="auto"/>
              <w:jc w:val="right"/>
              <w:rPr>
                <w:rFonts w:ascii="Arial" w:eastAsia="Times New Roman" w:hAnsi="Arial" w:cs="Arial"/>
                <w:color w:val="000000"/>
                <w:sz w:val="16"/>
                <w:szCs w:val="16"/>
                <w:lang w:eastAsia="hr-HR"/>
              </w:rPr>
            </w:pPr>
            <w:r w:rsidRPr="00EC2DEE">
              <w:rPr>
                <w:rFonts w:ascii="Arial" w:eastAsia="Times New Roman" w:hAnsi="Arial" w:cs="Arial"/>
                <w:color w:val="000000"/>
                <w:sz w:val="16"/>
                <w:szCs w:val="16"/>
                <w:lang w:eastAsia="hr-HR"/>
              </w:rPr>
              <w:t>17,775</w:t>
            </w:r>
          </w:p>
        </w:tc>
        <w:tc>
          <w:tcPr>
            <w:tcW w:w="1060" w:type="dxa"/>
            <w:tcBorders>
              <w:top w:val="nil"/>
              <w:left w:val="nil"/>
              <w:bottom w:val="single" w:sz="4" w:space="0" w:color="000080"/>
              <w:right w:val="single" w:sz="4" w:space="0" w:color="000080"/>
            </w:tcBorders>
            <w:shd w:val="clear" w:color="auto" w:fill="auto"/>
            <w:noWrap/>
            <w:vAlign w:val="center"/>
            <w:hideMark/>
          </w:tcPr>
          <w:p w:rsidR="00037DEB" w:rsidRPr="00EC2DEE" w:rsidRDefault="00037DEB" w:rsidP="00037DEB">
            <w:pPr>
              <w:spacing w:after="0" w:line="240" w:lineRule="auto"/>
              <w:jc w:val="right"/>
              <w:rPr>
                <w:rFonts w:ascii="Arial" w:eastAsia="Times New Roman" w:hAnsi="Arial" w:cs="Arial"/>
                <w:color w:val="000000"/>
                <w:sz w:val="16"/>
                <w:szCs w:val="16"/>
                <w:lang w:eastAsia="hr-HR"/>
              </w:rPr>
            </w:pPr>
            <w:r w:rsidRPr="00EC2DEE">
              <w:rPr>
                <w:rFonts w:ascii="Arial" w:eastAsia="Times New Roman" w:hAnsi="Arial" w:cs="Arial"/>
                <w:color w:val="000000"/>
                <w:sz w:val="16"/>
                <w:szCs w:val="16"/>
                <w:lang w:eastAsia="hr-HR"/>
              </w:rPr>
              <w:t>,11</w:t>
            </w:r>
            <w:r w:rsidR="00621AFE" w:rsidRPr="00EC2DEE">
              <w:rPr>
                <w:rFonts w:ascii="Arial" w:eastAsia="Times New Roman" w:hAnsi="Arial" w:cs="Arial"/>
                <w:color w:val="000000"/>
                <w:sz w:val="16"/>
                <w:szCs w:val="16"/>
                <w:lang w:eastAsia="hr-HR"/>
              </w:rPr>
              <w:t>0</w:t>
            </w:r>
          </w:p>
        </w:tc>
        <w:tc>
          <w:tcPr>
            <w:tcW w:w="1060" w:type="dxa"/>
            <w:tcBorders>
              <w:top w:val="nil"/>
              <w:left w:val="nil"/>
              <w:bottom w:val="single" w:sz="4" w:space="0" w:color="000080"/>
              <w:right w:val="single" w:sz="4" w:space="0" w:color="000080"/>
            </w:tcBorders>
            <w:shd w:val="clear" w:color="auto" w:fill="auto"/>
            <w:noWrap/>
            <w:vAlign w:val="center"/>
            <w:hideMark/>
          </w:tcPr>
          <w:p w:rsidR="00037DEB" w:rsidRPr="00EC2DEE" w:rsidRDefault="00037DEB" w:rsidP="00037DEB">
            <w:pPr>
              <w:spacing w:after="0" w:line="240" w:lineRule="auto"/>
              <w:jc w:val="right"/>
              <w:rPr>
                <w:rFonts w:ascii="Arial" w:eastAsia="Times New Roman" w:hAnsi="Arial" w:cs="Arial"/>
                <w:color w:val="000000"/>
                <w:sz w:val="16"/>
                <w:szCs w:val="16"/>
                <w:lang w:eastAsia="hr-HR"/>
              </w:rPr>
            </w:pPr>
            <w:r w:rsidRPr="00EC2DEE">
              <w:rPr>
                <w:rFonts w:ascii="Arial" w:eastAsia="Times New Roman" w:hAnsi="Arial" w:cs="Arial"/>
                <w:color w:val="000000"/>
                <w:sz w:val="16"/>
                <w:szCs w:val="16"/>
                <w:lang w:eastAsia="hr-HR"/>
              </w:rPr>
              <w:t>48,967</w:t>
            </w:r>
          </w:p>
        </w:tc>
        <w:tc>
          <w:tcPr>
            <w:tcW w:w="1060" w:type="dxa"/>
            <w:tcBorders>
              <w:top w:val="nil"/>
              <w:left w:val="nil"/>
              <w:bottom w:val="single" w:sz="4" w:space="0" w:color="000080"/>
              <w:right w:val="single" w:sz="4" w:space="0" w:color="000080"/>
            </w:tcBorders>
            <w:shd w:val="clear" w:color="auto" w:fill="auto"/>
            <w:noWrap/>
            <w:vAlign w:val="center"/>
            <w:hideMark/>
          </w:tcPr>
          <w:p w:rsidR="00037DEB" w:rsidRPr="00EC2DEE" w:rsidRDefault="00037DEB" w:rsidP="00037DEB">
            <w:pPr>
              <w:spacing w:after="0" w:line="240" w:lineRule="auto"/>
              <w:jc w:val="right"/>
              <w:rPr>
                <w:rFonts w:ascii="Arial" w:eastAsia="Times New Roman" w:hAnsi="Arial" w:cs="Arial"/>
                <w:color w:val="000000"/>
                <w:sz w:val="16"/>
                <w:szCs w:val="16"/>
                <w:lang w:eastAsia="hr-HR"/>
              </w:rPr>
            </w:pPr>
            <w:r w:rsidRPr="00EC2DEE">
              <w:rPr>
                <w:rFonts w:ascii="Arial" w:eastAsia="Times New Roman" w:hAnsi="Arial" w:cs="Arial"/>
                <w:color w:val="000000"/>
                <w:sz w:val="16"/>
                <w:szCs w:val="16"/>
                <w:lang w:eastAsia="hr-HR"/>
              </w:rPr>
              <w:t>2,466</w:t>
            </w:r>
          </w:p>
        </w:tc>
        <w:tc>
          <w:tcPr>
            <w:tcW w:w="1060" w:type="dxa"/>
            <w:tcBorders>
              <w:top w:val="nil"/>
              <w:left w:val="nil"/>
              <w:bottom w:val="single" w:sz="4" w:space="0" w:color="000080"/>
              <w:right w:val="single" w:sz="4" w:space="0" w:color="000080"/>
            </w:tcBorders>
            <w:shd w:val="clear" w:color="auto" w:fill="auto"/>
            <w:noWrap/>
            <w:vAlign w:val="center"/>
            <w:hideMark/>
          </w:tcPr>
          <w:p w:rsidR="00037DEB" w:rsidRPr="00EC2DEE" w:rsidRDefault="00037DEB" w:rsidP="00037DEB">
            <w:pPr>
              <w:spacing w:after="0" w:line="240" w:lineRule="auto"/>
              <w:jc w:val="right"/>
              <w:rPr>
                <w:rFonts w:ascii="Arial" w:eastAsia="Times New Roman" w:hAnsi="Arial" w:cs="Arial"/>
                <w:color w:val="000000"/>
                <w:sz w:val="16"/>
                <w:szCs w:val="16"/>
                <w:lang w:eastAsia="hr-HR"/>
              </w:rPr>
            </w:pPr>
            <w:r w:rsidRPr="00EC2DEE">
              <w:rPr>
                <w:rFonts w:ascii="Arial" w:eastAsia="Times New Roman" w:hAnsi="Arial" w:cs="Arial"/>
                <w:color w:val="000000"/>
                <w:sz w:val="16"/>
                <w:szCs w:val="16"/>
                <w:lang w:eastAsia="hr-HR"/>
              </w:rPr>
              <w:t>5,397</w:t>
            </w:r>
          </w:p>
        </w:tc>
      </w:tr>
    </w:tbl>
    <w:p w:rsidR="00B556DB" w:rsidRDefault="00B556DB" w:rsidP="00B556DB">
      <w:pPr>
        <w:spacing w:after="0" w:line="240" w:lineRule="auto"/>
        <w:jc w:val="both"/>
        <w:rPr>
          <w:rFonts w:ascii="Times New Roman" w:hAnsi="Times New Roman" w:cs="Times New Roman"/>
        </w:rPr>
      </w:pPr>
    </w:p>
    <w:p w:rsidR="00727F3F" w:rsidRPr="00FA7F54" w:rsidRDefault="00727F3F" w:rsidP="00727F3F">
      <w:pPr>
        <w:spacing w:line="240" w:lineRule="auto"/>
        <w:jc w:val="both"/>
        <w:rPr>
          <w:rFonts w:ascii="Times New Roman" w:hAnsi="Times New Roman" w:cs="Times New Roman"/>
        </w:rPr>
      </w:pPr>
      <w:r w:rsidRPr="00FA7F54">
        <w:rPr>
          <w:rFonts w:ascii="Times New Roman" w:hAnsi="Times New Roman" w:cs="Times New Roman"/>
        </w:rPr>
        <w:t>U okviru</w:t>
      </w:r>
      <w:r w:rsidR="004D40B5" w:rsidRPr="00FA7F54">
        <w:rPr>
          <w:rFonts w:ascii="Times New Roman" w:hAnsi="Times New Roman" w:cs="Times New Roman"/>
        </w:rPr>
        <w:t xml:space="preserve"> ove skupine računa evidentiraju se</w:t>
      </w:r>
      <w:r w:rsidRPr="00FA7F54">
        <w:rPr>
          <w:rFonts w:ascii="Times New Roman" w:hAnsi="Times New Roman" w:cs="Times New Roman"/>
        </w:rPr>
        <w:t xml:space="preserve"> troškovi </w:t>
      </w:r>
      <w:r w:rsidR="00082F32" w:rsidRPr="00FA7F54">
        <w:rPr>
          <w:rFonts w:ascii="Times New Roman" w:hAnsi="Times New Roman" w:cs="Times New Roman"/>
        </w:rPr>
        <w:t>osnovnog materijala i sirovina, pomoćnog materijala, namirnica, robe i ostalih materijala i sirovina</w:t>
      </w:r>
      <w:r w:rsidRPr="00FA7F54">
        <w:rPr>
          <w:rFonts w:ascii="Times New Roman" w:hAnsi="Times New Roman" w:cs="Times New Roman"/>
        </w:rPr>
        <w:t>.</w:t>
      </w:r>
      <w:r w:rsidR="00A05335" w:rsidRPr="00FA7F54">
        <w:rPr>
          <w:rFonts w:ascii="Times New Roman" w:hAnsi="Times New Roman" w:cs="Times New Roman"/>
        </w:rPr>
        <w:t xml:space="preserve"> Najveći dio</w:t>
      </w:r>
      <w:r w:rsidR="000E12F3" w:rsidRPr="00FA7F54">
        <w:rPr>
          <w:rFonts w:ascii="Times New Roman" w:hAnsi="Times New Roman" w:cs="Times New Roman"/>
        </w:rPr>
        <w:t xml:space="preserve"> rashoda za materijal i sirovine u državnom proračunu</w:t>
      </w:r>
      <w:r w:rsidR="00A05335" w:rsidRPr="00FA7F54">
        <w:rPr>
          <w:rFonts w:ascii="Times New Roman" w:hAnsi="Times New Roman" w:cs="Times New Roman"/>
        </w:rPr>
        <w:t xml:space="preserve"> odnosi se na namirnice.</w:t>
      </w:r>
      <w:r w:rsidR="000E12F3" w:rsidRPr="00FA7F54">
        <w:rPr>
          <w:rFonts w:ascii="Times New Roman" w:hAnsi="Times New Roman" w:cs="Times New Roman"/>
        </w:rPr>
        <w:t xml:space="preserve"> </w:t>
      </w:r>
    </w:p>
    <w:p w:rsidR="00A0007C" w:rsidRPr="00FA7F54" w:rsidRDefault="005C657E" w:rsidP="00F35ABD">
      <w:pPr>
        <w:spacing w:after="0" w:line="240" w:lineRule="auto"/>
        <w:ind w:firstLine="360"/>
        <w:jc w:val="both"/>
        <w:rPr>
          <w:rFonts w:ascii="Times New Roman" w:hAnsi="Times New Roman" w:cs="Times New Roman"/>
        </w:rPr>
      </w:pPr>
      <w:r w:rsidRPr="00FA7F54">
        <w:rPr>
          <w:rFonts w:ascii="Times New Roman" w:hAnsi="Times New Roman" w:cs="Times New Roman"/>
          <w:u w:val="single"/>
        </w:rPr>
        <w:t>Mjere za smanjenje odno</w:t>
      </w:r>
      <w:r w:rsidR="00B630F4" w:rsidRPr="00FA7F54">
        <w:rPr>
          <w:rFonts w:ascii="Times New Roman" w:hAnsi="Times New Roman" w:cs="Times New Roman"/>
          <w:u w:val="single"/>
        </w:rPr>
        <w:t>sno optim</w:t>
      </w:r>
      <w:r w:rsidRPr="00FA7F54">
        <w:rPr>
          <w:rFonts w:ascii="Times New Roman" w:hAnsi="Times New Roman" w:cs="Times New Roman"/>
          <w:u w:val="single"/>
        </w:rPr>
        <w:t>izaciju rashoda:</w:t>
      </w:r>
      <w:r w:rsidR="00A0007C" w:rsidRPr="00FA7F54">
        <w:rPr>
          <w:rFonts w:ascii="Times New Roman" w:hAnsi="Times New Roman" w:cs="Times New Roman"/>
        </w:rPr>
        <w:t xml:space="preserve"> </w:t>
      </w:r>
    </w:p>
    <w:p w:rsidR="00C64D76" w:rsidRPr="009A15C5" w:rsidRDefault="00C64D76" w:rsidP="00922D60">
      <w:pPr>
        <w:pStyle w:val="Odlomakpopisa"/>
        <w:numPr>
          <w:ilvl w:val="0"/>
          <w:numId w:val="22"/>
        </w:numPr>
        <w:shd w:val="clear" w:color="auto" w:fill="FFFFFF"/>
        <w:spacing w:after="0" w:line="240" w:lineRule="auto"/>
        <w:jc w:val="both"/>
        <w:rPr>
          <w:rFonts w:ascii="Times New Roman" w:hAnsi="Times New Roman" w:cs="Times New Roman"/>
        </w:rPr>
      </w:pPr>
      <w:r w:rsidRPr="009A15C5">
        <w:rPr>
          <w:rFonts w:ascii="Times New Roman" w:hAnsi="Times New Roman" w:cs="Times New Roman"/>
        </w:rPr>
        <w:t>Optimizacija/standardizacija proizvoda i usluga i ostvarivanja ušteda u javnoj potrošnji  kroz učinkoviti sustav javne nabave kod korisnika</w:t>
      </w:r>
      <w:r w:rsidR="00DB5ED0">
        <w:rPr>
          <w:rFonts w:ascii="Times New Roman" w:hAnsi="Times New Roman" w:cs="Times New Roman"/>
        </w:rPr>
        <w:t>.</w:t>
      </w:r>
    </w:p>
    <w:p w:rsidR="005C657E" w:rsidRPr="009A15C5" w:rsidRDefault="00B630F4" w:rsidP="00C64D76">
      <w:pPr>
        <w:spacing w:line="240" w:lineRule="auto"/>
        <w:jc w:val="both"/>
        <w:rPr>
          <w:rFonts w:ascii="Times New Roman" w:hAnsi="Times New Roman" w:cs="Times New Roman"/>
        </w:rPr>
      </w:pPr>
      <w:r w:rsidRPr="009A15C5">
        <w:rPr>
          <w:rFonts w:ascii="Times New Roman" w:hAnsi="Times New Roman" w:cs="Times New Roman"/>
        </w:rPr>
        <w:t xml:space="preserve">Ministarstvo zdravlja u okviru Nacionalnog </w:t>
      </w:r>
      <w:r w:rsidR="00AE72F6">
        <w:rPr>
          <w:rFonts w:ascii="Times New Roman" w:hAnsi="Times New Roman" w:cs="Times New Roman"/>
        </w:rPr>
        <w:t>programa</w:t>
      </w:r>
      <w:r w:rsidR="00AE72F6" w:rsidRPr="009A15C5">
        <w:rPr>
          <w:rFonts w:ascii="Times New Roman" w:hAnsi="Times New Roman" w:cs="Times New Roman"/>
        </w:rPr>
        <w:t xml:space="preserve"> </w:t>
      </w:r>
      <w:r w:rsidRPr="009A15C5">
        <w:rPr>
          <w:rFonts w:ascii="Times New Roman" w:hAnsi="Times New Roman" w:cs="Times New Roman"/>
        </w:rPr>
        <w:t xml:space="preserve">reformi provodi proširenje opsega zajedničke javne nabave kroz izmjenu ustroja i ovlasti Agencije za kvalitetu (koja postaje Agencija za kvalitetu i logistiku), implementaciju sustava javne nabave u bolnicama obuhvaćenim Nacionalnim </w:t>
      </w:r>
      <w:r w:rsidR="00AE72F6">
        <w:rPr>
          <w:rFonts w:ascii="Times New Roman" w:hAnsi="Times New Roman" w:cs="Times New Roman"/>
        </w:rPr>
        <w:t>programom reformi</w:t>
      </w:r>
      <w:r w:rsidR="00AE72F6" w:rsidRPr="009A15C5">
        <w:rPr>
          <w:rFonts w:ascii="Times New Roman" w:hAnsi="Times New Roman" w:cs="Times New Roman"/>
        </w:rPr>
        <w:t xml:space="preserve"> </w:t>
      </w:r>
      <w:r w:rsidRPr="009A15C5">
        <w:rPr>
          <w:rFonts w:ascii="Times New Roman" w:hAnsi="Times New Roman" w:cs="Times New Roman"/>
        </w:rPr>
        <w:t>(min 30% ukupne potrošnje lijekova i potrošnog materijala) te izradu informatičkog rješenja za potrebe sustava javne nabave.</w:t>
      </w:r>
      <w:r w:rsidR="00D12E73" w:rsidRPr="009A15C5">
        <w:rPr>
          <w:rFonts w:ascii="Times New Roman" w:hAnsi="Times New Roman" w:cs="Times New Roman"/>
        </w:rPr>
        <w:t xml:space="preserve"> Potrebno je sagledati moguća unapređenja i kod</w:t>
      </w:r>
      <w:r w:rsidR="007C647D" w:rsidRPr="009A15C5">
        <w:rPr>
          <w:rFonts w:ascii="Times New Roman" w:hAnsi="Times New Roman" w:cs="Times New Roman"/>
        </w:rPr>
        <w:t xml:space="preserve"> ostalih korisnika</w:t>
      </w:r>
      <w:r w:rsidR="00D12E73" w:rsidRPr="009A15C5">
        <w:rPr>
          <w:rFonts w:ascii="Times New Roman" w:hAnsi="Times New Roman" w:cs="Times New Roman"/>
        </w:rPr>
        <w:t xml:space="preserve"> </w:t>
      </w:r>
      <w:r w:rsidR="007C647D" w:rsidRPr="009A15C5">
        <w:rPr>
          <w:rFonts w:ascii="Times New Roman" w:hAnsi="Times New Roman" w:cs="Times New Roman"/>
        </w:rPr>
        <w:t>(</w:t>
      </w:r>
      <w:r w:rsidR="00EC420F">
        <w:rPr>
          <w:rFonts w:ascii="Times New Roman" w:hAnsi="Times New Roman" w:cs="Times New Roman"/>
        </w:rPr>
        <w:t xml:space="preserve">MUP, MORH, </w:t>
      </w:r>
      <w:r w:rsidR="00410BDA">
        <w:rPr>
          <w:rFonts w:ascii="Times New Roman" w:hAnsi="Times New Roman" w:cs="Times New Roman"/>
        </w:rPr>
        <w:t>Ministarstvo</w:t>
      </w:r>
      <w:r w:rsidR="00D12E73" w:rsidRPr="009A15C5">
        <w:rPr>
          <w:rFonts w:ascii="Times New Roman" w:hAnsi="Times New Roman" w:cs="Times New Roman"/>
        </w:rPr>
        <w:t xml:space="preserve"> socijalne politike i mladih</w:t>
      </w:r>
      <w:r w:rsidR="007C647D" w:rsidRPr="009A15C5">
        <w:rPr>
          <w:rFonts w:ascii="Times New Roman" w:hAnsi="Times New Roman" w:cs="Times New Roman"/>
        </w:rPr>
        <w:t>)</w:t>
      </w:r>
      <w:r w:rsidR="00D12E73" w:rsidRPr="009A15C5">
        <w:rPr>
          <w:rFonts w:ascii="Times New Roman" w:hAnsi="Times New Roman" w:cs="Times New Roman"/>
        </w:rPr>
        <w:t>.</w:t>
      </w:r>
    </w:p>
    <w:p w:rsidR="00504420" w:rsidRPr="00FA7F54" w:rsidRDefault="0054560D" w:rsidP="0054560D">
      <w:pPr>
        <w:pStyle w:val="Naslov2"/>
        <w:rPr>
          <w:rFonts w:ascii="Times New Roman" w:hAnsi="Times New Roman" w:cs="Times New Roman"/>
          <w:color w:val="auto"/>
          <w:sz w:val="22"/>
          <w:szCs w:val="22"/>
        </w:rPr>
      </w:pPr>
      <w:bookmarkStart w:id="47" w:name="_Toc434411182"/>
      <w:bookmarkStart w:id="48" w:name="_Toc436402325"/>
      <w:r w:rsidRPr="00FA7F54">
        <w:rPr>
          <w:rFonts w:ascii="Times New Roman" w:hAnsi="Times New Roman" w:cs="Times New Roman"/>
          <w:color w:val="auto"/>
          <w:sz w:val="22"/>
          <w:szCs w:val="22"/>
        </w:rPr>
        <w:lastRenderedPageBreak/>
        <w:t>ENERGIJA (3223)</w:t>
      </w:r>
      <w:bookmarkEnd w:id="47"/>
      <w:bookmarkEnd w:id="48"/>
    </w:p>
    <w:p w:rsidR="00A2719A" w:rsidRPr="00FA7F54" w:rsidRDefault="00D505B0" w:rsidP="009841A4">
      <w:pPr>
        <w:spacing w:line="240" w:lineRule="auto"/>
        <w:jc w:val="both"/>
        <w:rPr>
          <w:rFonts w:ascii="Times New Roman" w:hAnsi="Times New Roman" w:cs="Times New Roman"/>
        </w:rPr>
      </w:pPr>
      <w:r w:rsidRPr="00FA7F54">
        <w:rPr>
          <w:rFonts w:ascii="Times New Roman" w:hAnsi="Times New Roman" w:cs="Times New Roman"/>
        </w:rPr>
        <w:t xml:space="preserve">Prema iskazanim podacima u financijskim izvještajima rashodi za energiju u 2013. godini iznosili su </w:t>
      </w:r>
      <w:r w:rsidR="00C86EE9" w:rsidRPr="00FA7F54">
        <w:rPr>
          <w:rFonts w:ascii="Times New Roman" w:hAnsi="Times New Roman" w:cs="Times New Roman"/>
        </w:rPr>
        <w:t>987,1</w:t>
      </w:r>
      <w:r w:rsidRPr="00FA7F54">
        <w:rPr>
          <w:rFonts w:ascii="Times New Roman" w:hAnsi="Times New Roman" w:cs="Times New Roman"/>
        </w:rPr>
        <w:t xml:space="preserve"> mil</w:t>
      </w:r>
      <w:r w:rsidR="00C86EE9" w:rsidRPr="00FA7F54">
        <w:rPr>
          <w:rFonts w:ascii="Times New Roman" w:hAnsi="Times New Roman" w:cs="Times New Roman"/>
        </w:rPr>
        <w:t>. kuna, a u 2014. godini 894,5</w:t>
      </w:r>
      <w:r w:rsidRPr="00FA7F54">
        <w:rPr>
          <w:rFonts w:ascii="Times New Roman" w:hAnsi="Times New Roman" w:cs="Times New Roman"/>
        </w:rPr>
        <w:t xml:space="preserve"> mil. kuna.</w:t>
      </w:r>
      <w:r w:rsidR="00893C93" w:rsidRPr="00FA7F54">
        <w:rPr>
          <w:rFonts w:ascii="Times New Roman" w:hAnsi="Times New Roman" w:cs="Times New Roman"/>
        </w:rPr>
        <w:t xml:space="preserve"> </w:t>
      </w:r>
      <w:r w:rsidR="006C59E2" w:rsidRPr="00FA7F54">
        <w:rPr>
          <w:rFonts w:ascii="Times New Roman" w:hAnsi="Times New Roman" w:cs="Times New Roman"/>
        </w:rPr>
        <w:t>U državnom proračunu za 2015. g</w:t>
      </w:r>
      <w:r w:rsidR="00EF1C3A" w:rsidRPr="00FA7F54">
        <w:rPr>
          <w:rFonts w:ascii="Times New Roman" w:hAnsi="Times New Roman" w:cs="Times New Roman"/>
        </w:rPr>
        <w:t>odinu planirano je 865,5 mil. kuna rashoda za energij</w:t>
      </w:r>
      <w:r w:rsidR="00917AF4">
        <w:rPr>
          <w:rFonts w:ascii="Times New Roman" w:hAnsi="Times New Roman" w:cs="Times New Roman"/>
        </w:rPr>
        <w:t>u od čega se 596,</w:t>
      </w:r>
      <w:r w:rsidR="00AE72F6">
        <w:rPr>
          <w:rFonts w:ascii="Times New Roman" w:hAnsi="Times New Roman" w:cs="Times New Roman"/>
        </w:rPr>
        <w:t xml:space="preserve">8 </w:t>
      </w:r>
      <w:r w:rsidR="00917AF4">
        <w:rPr>
          <w:rFonts w:ascii="Times New Roman" w:hAnsi="Times New Roman" w:cs="Times New Roman"/>
        </w:rPr>
        <w:t>mil. ili 67</w:t>
      </w:r>
      <w:r w:rsidR="00AE72F6">
        <w:rPr>
          <w:rFonts w:ascii="Times New Roman" w:hAnsi="Times New Roman" w:cs="Times New Roman"/>
        </w:rPr>
        <w:t>%</w:t>
      </w:r>
      <w:r w:rsidR="00EF1C3A" w:rsidRPr="00FA7F54">
        <w:rPr>
          <w:rFonts w:ascii="Times New Roman" w:hAnsi="Times New Roman" w:cs="Times New Roman"/>
        </w:rPr>
        <w:t xml:space="preserve"> financira iz izvora u limitu.</w:t>
      </w:r>
    </w:p>
    <w:p w:rsidR="009835A2" w:rsidRPr="00AE72F6" w:rsidRDefault="009835A2" w:rsidP="006B7B79">
      <w:pPr>
        <w:pStyle w:val="Opisslike"/>
        <w:spacing w:after="0"/>
        <w:jc w:val="both"/>
        <w:rPr>
          <w:rFonts w:ascii="Times New Roman" w:hAnsi="Times New Roman" w:cs="Times New Roman"/>
          <w:sz w:val="20"/>
          <w:szCs w:val="20"/>
        </w:rPr>
      </w:pPr>
      <w:bookmarkStart w:id="49" w:name="_Toc436402269"/>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22</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 xml:space="preserve">: </w:t>
      </w:r>
      <w:r w:rsidR="00F42E7A" w:rsidRPr="006B7B79">
        <w:rPr>
          <w:rFonts w:ascii="Times New Roman" w:hAnsi="Times New Roman" w:cs="Times New Roman"/>
          <w:sz w:val="20"/>
          <w:szCs w:val="20"/>
        </w:rPr>
        <w:t xml:space="preserve">Energija prema podacima iskazanim u financijskim izvještajima proračunskih i izvanproračunskih korisnika za 2013. i 2014. </w:t>
      </w:r>
      <w:r w:rsidR="00984E0D" w:rsidRPr="006B7B79">
        <w:rPr>
          <w:rFonts w:ascii="Times New Roman" w:hAnsi="Times New Roman" w:cs="Times New Roman"/>
          <w:sz w:val="20"/>
          <w:szCs w:val="20"/>
        </w:rPr>
        <w:t>g</w:t>
      </w:r>
      <w:r w:rsidR="00F42E7A" w:rsidRPr="006B7B79">
        <w:rPr>
          <w:rFonts w:ascii="Times New Roman" w:hAnsi="Times New Roman" w:cs="Times New Roman"/>
          <w:sz w:val="20"/>
          <w:szCs w:val="20"/>
        </w:rPr>
        <w:t>odinu</w:t>
      </w:r>
      <w:r w:rsidR="00984E0D" w:rsidRPr="006B7B79">
        <w:rPr>
          <w:rFonts w:ascii="Times New Roman" w:hAnsi="Times New Roman" w:cs="Times New Roman"/>
          <w:sz w:val="20"/>
          <w:szCs w:val="20"/>
        </w:rPr>
        <w:t xml:space="preserve"> te planu Državnog proračuna za 2015. godinu</w:t>
      </w:r>
      <w:bookmarkEnd w:id="49"/>
    </w:p>
    <w:p w:rsidR="004F6A71" w:rsidRPr="00FA7F54" w:rsidRDefault="003553C0" w:rsidP="007D4DD3">
      <w:pPr>
        <w:spacing w:line="240" w:lineRule="auto"/>
        <w:jc w:val="both"/>
        <w:rPr>
          <w:rFonts w:ascii="Times New Roman" w:hAnsi="Times New Roman" w:cs="Times New Roman"/>
        </w:rPr>
      </w:pPr>
      <w:r w:rsidRPr="003553C0">
        <w:rPr>
          <w:noProof/>
          <w:lang w:eastAsia="hr-HR"/>
        </w:rPr>
        <w:drawing>
          <wp:inline distT="0" distB="0" distL="0" distR="0" wp14:anchorId="62C0214C" wp14:editId="7FCA47DB">
            <wp:extent cx="5760720" cy="31336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133626"/>
                    </a:xfrm>
                    <a:prstGeom prst="rect">
                      <a:avLst/>
                    </a:prstGeom>
                    <a:noFill/>
                    <a:ln>
                      <a:noFill/>
                    </a:ln>
                  </pic:spPr>
                </pic:pic>
              </a:graphicData>
            </a:graphic>
          </wp:inline>
        </w:drawing>
      </w:r>
    </w:p>
    <w:p w:rsidR="00404C12" w:rsidRPr="00FA7F54" w:rsidRDefault="00520018" w:rsidP="009841A4">
      <w:pPr>
        <w:spacing w:line="240" w:lineRule="auto"/>
        <w:jc w:val="both"/>
        <w:rPr>
          <w:rFonts w:ascii="Times New Roman" w:hAnsi="Times New Roman" w:cs="Times New Roman"/>
        </w:rPr>
      </w:pPr>
      <w:r w:rsidRPr="00FA7F54">
        <w:rPr>
          <w:rFonts w:ascii="Times New Roman" w:hAnsi="Times New Roman" w:cs="Times New Roman"/>
        </w:rPr>
        <w:t>Rashodi za energiju obuhvaćaju rashode za električnu energiju, toplu vodu (toplana), plin, motorni benzin i dizel gorivo i ostale materijale za proizvodnju energ</w:t>
      </w:r>
      <w:r w:rsidR="00E72E4E" w:rsidRPr="00FA7F54">
        <w:rPr>
          <w:rFonts w:ascii="Times New Roman" w:hAnsi="Times New Roman" w:cs="Times New Roman"/>
        </w:rPr>
        <w:t>ije (ugljen, drva, teško ulje).</w:t>
      </w:r>
    </w:p>
    <w:p w:rsidR="009835A2" w:rsidRPr="00AE72F6" w:rsidRDefault="009835A2" w:rsidP="007D25B0">
      <w:pPr>
        <w:pStyle w:val="Opisslike"/>
        <w:spacing w:after="0"/>
        <w:rPr>
          <w:rFonts w:ascii="Times New Roman" w:hAnsi="Times New Roman" w:cs="Times New Roman"/>
          <w:sz w:val="20"/>
          <w:szCs w:val="20"/>
        </w:rPr>
      </w:pPr>
      <w:bookmarkStart w:id="50" w:name="_Toc436402270"/>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23</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 xml:space="preserve">: </w:t>
      </w:r>
      <w:r w:rsidR="007D25B0" w:rsidRPr="006B7B79">
        <w:rPr>
          <w:rFonts w:ascii="Times New Roman" w:hAnsi="Times New Roman" w:cs="Times New Roman"/>
          <w:sz w:val="20"/>
          <w:szCs w:val="20"/>
        </w:rPr>
        <w:t>Energija prema podacima iskazanim u državnom proračunu – izvršenje za 2014. (u mil.</w:t>
      </w:r>
      <w:r w:rsidR="00AE72F6">
        <w:rPr>
          <w:rFonts w:ascii="Times New Roman" w:hAnsi="Times New Roman" w:cs="Times New Roman"/>
          <w:sz w:val="20"/>
          <w:szCs w:val="20"/>
        </w:rPr>
        <w:t xml:space="preserve"> kuna</w:t>
      </w:r>
      <w:r w:rsidR="007D25B0" w:rsidRPr="006B7B79">
        <w:rPr>
          <w:rFonts w:ascii="Times New Roman" w:hAnsi="Times New Roman" w:cs="Times New Roman"/>
          <w:sz w:val="20"/>
          <w:szCs w:val="20"/>
        </w:rPr>
        <w:t>)</w:t>
      </w:r>
      <w:bookmarkEnd w:id="50"/>
    </w:p>
    <w:tbl>
      <w:tblPr>
        <w:tblW w:w="7670" w:type="dxa"/>
        <w:jc w:val="center"/>
        <w:tblInd w:w="93" w:type="dxa"/>
        <w:tblLook w:val="04A0" w:firstRow="1" w:lastRow="0" w:firstColumn="1" w:lastColumn="0" w:noHBand="0" w:noVBand="1"/>
      </w:tblPr>
      <w:tblGrid>
        <w:gridCol w:w="1300"/>
        <w:gridCol w:w="1000"/>
        <w:gridCol w:w="1000"/>
        <w:gridCol w:w="1000"/>
        <w:gridCol w:w="1000"/>
        <w:gridCol w:w="1000"/>
        <w:gridCol w:w="1370"/>
      </w:tblGrid>
      <w:tr w:rsidR="00404C12" w:rsidRPr="007361F9" w:rsidTr="006B7B79">
        <w:trPr>
          <w:trHeight w:val="837"/>
          <w:jc w:val="center"/>
        </w:trPr>
        <w:tc>
          <w:tcPr>
            <w:tcW w:w="1300"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404C12" w:rsidRPr="007361F9" w:rsidRDefault="00404C12" w:rsidP="00404C12">
            <w:pPr>
              <w:spacing w:after="0" w:line="240" w:lineRule="auto"/>
              <w:rPr>
                <w:rFonts w:ascii="Arial" w:eastAsia="Times New Roman" w:hAnsi="Arial" w:cs="Arial"/>
                <w:b/>
                <w:bCs/>
                <w:sz w:val="16"/>
                <w:szCs w:val="16"/>
                <w:lang w:eastAsia="hr-HR"/>
              </w:rPr>
            </w:pPr>
            <w:r w:rsidRPr="007361F9">
              <w:rPr>
                <w:rFonts w:ascii="Arial" w:eastAsia="Times New Roman" w:hAnsi="Arial" w:cs="Arial"/>
                <w:b/>
                <w:bCs/>
                <w:sz w:val="16"/>
                <w:szCs w:val="16"/>
                <w:lang w:eastAsia="hr-HR"/>
              </w:rPr>
              <w:t>Izvršenje 2014.</w:t>
            </w:r>
          </w:p>
        </w:tc>
        <w:tc>
          <w:tcPr>
            <w:tcW w:w="1000" w:type="dxa"/>
            <w:tcBorders>
              <w:top w:val="single" w:sz="4" w:space="0" w:color="000080"/>
              <w:left w:val="nil"/>
              <w:bottom w:val="single" w:sz="4" w:space="0" w:color="000080"/>
              <w:right w:val="single" w:sz="4" w:space="0" w:color="000080"/>
            </w:tcBorders>
            <w:shd w:val="clear" w:color="000000" w:fill="DCE6F1"/>
            <w:vAlign w:val="center"/>
            <w:hideMark/>
          </w:tcPr>
          <w:p w:rsidR="00404C12" w:rsidRPr="007361F9" w:rsidRDefault="00404C12" w:rsidP="00404C12">
            <w:pPr>
              <w:spacing w:after="0" w:line="240" w:lineRule="auto"/>
              <w:rPr>
                <w:rFonts w:ascii="Arial" w:eastAsia="Times New Roman" w:hAnsi="Arial" w:cs="Arial"/>
                <w:b/>
                <w:bCs/>
                <w:sz w:val="16"/>
                <w:szCs w:val="16"/>
                <w:lang w:eastAsia="hr-HR"/>
              </w:rPr>
            </w:pPr>
            <w:r w:rsidRPr="007361F9">
              <w:rPr>
                <w:rFonts w:ascii="Arial" w:eastAsia="Times New Roman" w:hAnsi="Arial" w:cs="Arial"/>
                <w:b/>
                <w:bCs/>
                <w:sz w:val="16"/>
                <w:szCs w:val="16"/>
                <w:lang w:eastAsia="hr-HR"/>
              </w:rPr>
              <w:t>Energija</w:t>
            </w:r>
          </w:p>
        </w:tc>
        <w:tc>
          <w:tcPr>
            <w:tcW w:w="1000" w:type="dxa"/>
            <w:tcBorders>
              <w:top w:val="single" w:sz="4" w:space="0" w:color="000080"/>
              <w:left w:val="nil"/>
              <w:bottom w:val="single" w:sz="4" w:space="0" w:color="000080"/>
              <w:right w:val="single" w:sz="4" w:space="0" w:color="000080"/>
            </w:tcBorders>
            <w:shd w:val="clear" w:color="000000" w:fill="DCE6F1"/>
            <w:vAlign w:val="center"/>
            <w:hideMark/>
          </w:tcPr>
          <w:p w:rsidR="00404C12" w:rsidRPr="007361F9" w:rsidRDefault="00404C12" w:rsidP="00404C12">
            <w:pPr>
              <w:spacing w:after="0" w:line="240" w:lineRule="auto"/>
              <w:rPr>
                <w:rFonts w:ascii="Arial" w:eastAsia="Times New Roman" w:hAnsi="Arial" w:cs="Arial"/>
                <w:sz w:val="16"/>
                <w:szCs w:val="16"/>
                <w:lang w:eastAsia="hr-HR"/>
              </w:rPr>
            </w:pPr>
            <w:r w:rsidRPr="007361F9">
              <w:rPr>
                <w:rFonts w:ascii="Arial" w:eastAsia="Times New Roman" w:hAnsi="Arial" w:cs="Arial"/>
                <w:sz w:val="16"/>
                <w:szCs w:val="16"/>
                <w:lang w:eastAsia="hr-HR"/>
              </w:rPr>
              <w:t>Električna energija</w:t>
            </w:r>
          </w:p>
        </w:tc>
        <w:tc>
          <w:tcPr>
            <w:tcW w:w="1000" w:type="dxa"/>
            <w:tcBorders>
              <w:top w:val="single" w:sz="4" w:space="0" w:color="000080"/>
              <w:left w:val="nil"/>
              <w:bottom w:val="single" w:sz="4" w:space="0" w:color="000080"/>
              <w:right w:val="single" w:sz="4" w:space="0" w:color="000080"/>
            </w:tcBorders>
            <w:shd w:val="clear" w:color="000000" w:fill="DCE6F1"/>
            <w:vAlign w:val="center"/>
            <w:hideMark/>
          </w:tcPr>
          <w:p w:rsidR="00404C12" w:rsidRPr="007361F9" w:rsidRDefault="00404C12" w:rsidP="00404C12">
            <w:pPr>
              <w:spacing w:after="0" w:line="240" w:lineRule="auto"/>
              <w:rPr>
                <w:rFonts w:ascii="Arial" w:eastAsia="Times New Roman" w:hAnsi="Arial" w:cs="Arial"/>
                <w:sz w:val="16"/>
                <w:szCs w:val="16"/>
                <w:lang w:eastAsia="hr-HR"/>
              </w:rPr>
            </w:pPr>
            <w:r w:rsidRPr="007361F9">
              <w:rPr>
                <w:rFonts w:ascii="Arial" w:eastAsia="Times New Roman" w:hAnsi="Arial" w:cs="Arial"/>
                <w:sz w:val="16"/>
                <w:szCs w:val="16"/>
                <w:lang w:eastAsia="hr-HR"/>
              </w:rPr>
              <w:t>Topla voda (toplana)</w:t>
            </w:r>
          </w:p>
        </w:tc>
        <w:tc>
          <w:tcPr>
            <w:tcW w:w="1000" w:type="dxa"/>
            <w:tcBorders>
              <w:top w:val="single" w:sz="4" w:space="0" w:color="000080"/>
              <w:left w:val="nil"/>
              <w:bottom w:val="single" w:sz="4" w:space="0" w:color="000080"/>
              <w:right w:val="single" w:sz="4" w:space="0" w:color="000080"/>
            </w:tcBorders>
            <w:shd w:val="clear" w:color="000000" w:fill="DCE6F1"/>
            <w:vAlign w:val="center"/>
            <w:hideMark/>
          </w:tcPr>
          <w:p w:rsidR="00404C12" w:rsidRPr="007361F9" w:rsidRDefault="00404C12" w:rsidP="007361F9">
            <w:pPr>
              <w:spacing w:after="0" w:line="240" w:lineRule="auto"/>
              <w:ind w:firstLineChars="100" w:firstLine="160"/>
              <w:rPr>
                <w:rFonts w:ascii="Arial" w:eastAsia="Times New Roman" w:hAnsi="Arial" w:cs="Arial"/>
                <w:sz w:val="16"/>
                <w:szCs w:val="16"/>
                <w:lang w:eastAsia="hr-HR"/>
              </w:rPr>
            </w:pPr>
            <w:r w:rsidRPr="007361F9">
              <w:rPr>
                <w:rFonts w:ascii="Arial" w:eastAsia="Times New Roman" w:hAnsi="Arial" w:cs="Arial"/>
                <w:sz w:val="16"/>
                <w:szCs w:val="16"/>
                <w:lang w:eastAsia="hr-HR"/>
              </w:rPr>
              <w:t>Plin</w:t>
            </w:r>
          </w:p>
        </w:tc>
        <w:tc>
          <w:tcPr>
            <w:tcW w:w="1000" w:type="dxa"/>
            <w:tcBorders>
              <w:top w:val="single" w:sz="4" w:space="0" w:color="000080"/>
              <w:left w:val="nil"/>
              <w:bottom w:val="single" w:sz="4" w:space="0" w:color="000080"/>
              <w:right w:val="single" w:sz="4" w:space="0" w:color="000080"/>
            </w:tcBorders>
            <w:shd w:val="clear" w:color="000000" w:fill="DCE6F1"/>
            <w:vAlign w:val="center"/>
            <w:hideMark/>
          </w:tcPr>
          <w:p w:rsidR="00404C12" w:rsidRPr="007361F9" w:rsidRDefault="00404C12" w:rsidP="00404C12">
            <w:pPr>
              <w:spacing w:after="0" w:line="240" w:lineRule="auto"/>
              <w:rPr>
                <w:rFonts w:ascii="Arial" w:eastAsia="Times New Roman" w:hAnsi="Arial" w:cs="Arial"/>
                <w:sz w:val="16"/>
                <w:szCs w:val="16"/>
                <w:lang w:eastAsia="hr-HR"/>
              </w:rPr>
            </w:pPr>
            <w:r w:rsidRPr="007361F9">
              <w:rPr>
                <w:rFonts w:ascii="Arial" w:eastAsia="Times New Roman" w:hAnsi="Arial" w:cs="Arial"/>
                <w:sz w:val="16"/>
                <w:szCs w:val="16"/>
                <w:lang w:eastAsia="hr-HR"/>
              </w:rPr>
              <w:t>Motorni benzin i dizel gorivo</w:t>
            </w:r>
          </w:p>
        </w:tc>
        <w:tc>
          <w:tcPr>
            <w:tcW w:w="1370" w:type="dxa"/>
            <w:tcBorders>
              <w:top w:val="single" w:sz="4" w:space="0" w:color="000080"/>
              <w:left w:val="nil"/>
              <w:bottom w:val="single" w:sz="4" w:space="0" w:color="000080"/>
              <w:right w:val="single" w:sz="4" w:space="0" w:color="000080"/>
            </w:tcBorders>
            <w:shd w:val="clear" w:color="000000" w:fill="DCE6F1"/>
            <w:vAlign w:val="center"/>
            <w:hideMark/>
          </w:tcPr>
          <w:p w:rsidR="00404C12" w:rsidRPr="007361F9" w:rsidRDefault="00404C12" w:rsidP="003D2B5A">
            <w:pPr>
              <w:spacing w:after="0" w:line="240" w:lineRule="auto"/>
              <w:rPr>
                <w:rFonts w:ascii="Arial" w:eastAsia="Times New Roman" w:hAnsi="Arial" w:cs="Arial"/>
                <w:sz w:val="16"/>
                <w:szCs w:val="16"/>
                <w:lang w:eastAsia="hr-HR"/>
              </w:rPr>
            </w:pPr>
            <w:r w:rsidRPr="007361F9">
              <w:rPr>
                <w:rFonts w:ascii="Arial" w:eastAsia="Times New Roman" w:hAnsi="Arial" w:cs="Arial"/>
                <w:sz w:val="16"/>
                <w:szCs w:val="16"/>
                <w:lang w:eastAsia="hr-HR"/>
              </w:rPr>
              <w:t>Ostali materijali za proizvodnju energije (ugljen,</w:t>
            </w:r>
            <w:r w:rsidR="00EE5D53" w:rsidRPr="007361F9">
              <w:rPr>
                <w:rFonts w:ascii="Arial" w:eastAsia="Times New Roman" w:hAnsi="Arial" w:cs="Arial"/>
                <w:sz w:val="16"/>
                <w:szCs w:val="16"/>
                <w:lang w:eastAsia="hr-HR"/>
              </w:rPr>
              <w:t xml:space="preserve"> drva, teško ulje)</w:t>
            </w:r>
          </w:p>
        </w:tc>
      </w:tr>
      <w:tr w:rsidR="00404C12" w:rsidRPr="007361F9" w:rsidTr="006B7B79">
        <w:trPr>
          <w:trHeight w:val="300"/>
          <w:jc w:val="center"/>
        </w:trPr>
        <w:tc>
          <w:tcPr>
            <w:tcW w:w="1300" w:type="dxa"/>
            <w:tcBorders>
              <w:top w:val="nil"/>
              <w:left w:val="single" w:sz="4" w:space="0" w:color="000080"/>
              <w:bottom w:val="single" w:sz="4" w:space="0" w:color="000080"/>
              <w:right w:val="single" w:sz="4" w:space="0" w:color="000080"/>
            </w:tcBorders>
            <w:shd w:val="clear" w:color="000000" w:fill="DCE6F1"/>
            <w:noWrap/>
            <w:vAlign w:val="center"/>
            <w:hideMark/>
          </w:tcPr>
          <w:p w:rsidR="00404C12" w:rsidRPr="007361F9" w:rsidRDefault="00404C12" w:rsidP="007361F9">
            <w:pPr>
              <w:spacing w:after="0" w:line="240" w:lineRule="auto"/>
              <w:ind w:firstLineChars="200" w:firstLine="320"/>
              <w:rPr>
                <w:rFonts w:ascii="Arial" w:eastAsia="Times New Roman" w:hAnsi="Arial" w:cs="Arial"/>
                <w:sz w:val="16"/>
                <w:szCs w:val="16"/>
                <w:lang w:eastAsia="hr-HR"/>
              </w:rPr>
            </w:pPr>
            <w:r w:rsidRPr="007361F9">
              <w:rPr>
                <w:rFonts w:ascii="Arial" w:eastAsia="Times New Roman" w:hAnsi="Arial" w:cs="Arial"/>
                <w:sz w:val="16"/>
                <w:szCs w:val="16"/>
                <w:lang w:eastAsia="hr-HR"/>
              </w:rPr>
              <w:t>- Ukupno</w:t>
            </w:r>
          </w:p>
        </w:tc>
        <w:tc>
          <w:tcPr>
            <w:tcW w:w="1000" w:type="dxa"/>
            <w:tcBorders>
              <w:top w:val="nil"/>
              <w:left w:val="nil"/>
              <w:bottom w:val="single" w:sz="4" w:space="0" w:color="000080"/>
              <w:right w:val="single" w:sz="4" w:space="0" w:color="000080"/>
            </w:tcBorders>
            <w:shd w:val="clear" w:color="000000" w:fill="DCE6F1"/>
            <w:noWrap/>
            <w:vAlign w:val="center"/>
            <w:hideMark/>
          </w:tcPr>
          <w:p w:rsidR="00404C12" w:rsidRPr="007361F9" w:rsidRDefault="00404C12" w:rsidP="00404C12">
            <w:pPr>
              <w:spacing w:after="0" w:line="240" w:lineRule="auto"/>
              <w:jc w:val="right"/>
              <w:rPr>
                <w:rFonts w:ascii="Arial" w:eastAsia="Times New Roman" w:hAnsi="Arial" w:cs="Arial"/>
                <w:b/>
                <w:bCs/>
                <w:color w:val="000000"/>
                <w:sz w:val="16"/>
                <w:szCs w:val="16"/>
                <w:lang w:eastAsia="hr-HR"/>
              </w:rPr>
            </w:pPr>
            <w:r w:rsidRPr="007361F9">
              <w:rPr>
                <w:rFonts w:ascii="Arial" w:eastAsia="Times New Roman" w:hAnsi="Arial" w:cs="Arial"/>
                <w:b/>
                <w:bCs/>
                <w:color w:val="000000"/>
                <w:sz w:val="16"/>
                <w:szCs w:val="16"/>
                <w:lang w:eastAsia="hr-HR"/>
              </w:rPr>
              <w:t>611,092</w:t>
            </w:r>
          </w:p>
        </w:tc>
        <w:tc>
          <w:tcPr>
            <w:tcW w:w="1000" w:type="dxa"/>
            <w:tcBorders>
              <w:top w:val="nil"/>
              <w:left w:val="nil"/>
              <w:bottom w:val="single" w:sz="4" w:space="0" w:color="000080"/>
              <w:right w:val="single" w:sz="4" w:space="0" w:color="000080"/>
            </w:tcBorders>
            <w:shd w:val="clear" w:color="000000" w:fill="DCE6F1"/>
            <w:noWrap/>
            <w:vAlign w:val="center"/>
            <w:hideMark/>
          </w:tcPr>
          <w:p w:rsidR="00404C12" w:rsidRPr="007361F9" w:rsidRDefault="00404C12" w:rsidP="00404C12">
            <w:pPr>
              <w:spacing w:after="0" w:line="240" w:lineRule="auto"/>
              <w:jc w:val="right"/>
              <w:rPr>
                <w:rFonts w:ascii="Arial" w:eastAsia="Times New Roman" w:hAnsi="Arial" w:cs="Arial"/>
                <w:color w:val="000000"/>
                <w:sz w:val="16"/>
                <w:szCs w:val="16"/>
                <w:lang w:eastAsia="hr-HR"/>
              </w:rPr>
            </w:pPr>
            <w:r w:rsidRPr="007361F9">
              <w:rPr>
                <w:rFonts w:ascii="Arial" w:eastAsia="Times New Roman" w:hAnsi="Arial" w:cs="Arial"/>
                <w:color w:val="000000"/>
                <w:sz w:val="16"/>
                <w:szCs w:val="16"/>
                <w:lang w:eastAsia="hr-HR"/>
              </w:rPr>
              <w:t>196,931</w:t>
            </w:r>
          </w:p>
        </w:tc>
        <w:tc>
          <w:tcPr>
            <w:tcW w:w="1000" w:type="dxa"/>
            <w:tcBorders>
              <w:top w:val="nil"/>
              <w:left w:val="nil"/>
              <w:bottom w:val="single" w:sz="4" w:space="0" w:color="000080"/>
              <w:right w:val="single" w:sz="4" w:space="0" w:color="000080"/>
            </w:tcBorders>
            <w:shd w:val="clear" w:color="000000" w:fill="DCE6F1"/>
            <w:noWrap/>
            <w:vAlign w:val="center"/>
            <w:hideMark/>
          </w:tcPr>
          <w:p w:rsidR="00404C12" w:rsidRPr="007361F9" w:rsidRDefault="00404C12" w:rsidP="00404C12">
            <w:pPr>
              <w:spacing w:after="0" w:line="240" w:lineRule="auto"/>
              <w:jc w:val="right"/>
              <w:rPr>
                <w:rFonts w:ascii="Arial" w:eastAsia="Times New Roman" w:hAnsi="Arial" w:cs="Arial"/>
                <w:color w:val="000000"/>
                <w:sz w:val="16"/>
                <w:szCs w:val="16"/>
                <w:lang w:eastAsia="hr-HR"/>
              </w:rPr>
            </w:pPr>
            <w:r w:rsidRPr="007361F9">
              <w:rPr>
                <w:rFonts w:ascii="Arial" w:eastAsia="Times New Roman" w:hAnsi="Arial" w:cs="Arial"/>
                <w:color w:val="000000"/>
                <w:sz w:val="16"/>
                <w:szCs w:val="16"/>
                <w:lang w:eastAsia="hr-HR"/>
              </w:rPr>
              <w:t>39,460</w:t>
            </w:r>
          </w:p>
        </w:tc>
        <w:tc>
          <w:tcPr>
            <w:tcW w:w="1000" w:type="dxa"/>
            <w:tcBorders>
              <w:top w:val="nil"/>
              <w:left w:val="nil"/>
              <w:bottom w:val="single" w:sz="4" w:space="0" w:color="000080"/>
              <w:right w:val="single" w:sz="4" w:space="0" w:color="000080"/>
            </w:tcBorders>
            <w:shd w:val="clear" w:color="000000" w:fill="DCE6F1"/>
            <w:noWrap/>
            <w:vAlign w:val="center"/>
            <w:hideMark/>
          </w:tcPr>
          <w:p w:rsidR="00404C12" w:rsidRPr="007361F9" w:rsidRDefault="00404C12" w:rsidP="00404C12">
            <w:pPr>
              <w:spacing w:after="0" w:line="240" w:lineRule="auto"/>
              <w:jc w:val="right"/>
              <w:rPr>
                <w:rFonts w:ascii="Arial" w:eastAsia="Times New Roman" w:hAnsi="Arial" w:cs="Arial"/>
                <w:color w:val="000000"/>
                <w:sz w:val="16"/>
                <w:szCs w:val="16"/>
                <w:lang w:eastAsia="hr-HR"/>
              </w:rPr>
            </w:pPr>
            <w:r w:rsidRPr="007361F9">
              <w:rPr>
                <w:rFonts w:ascii="Arial" w:eastAsia="Times New Roman" w:hAnsi="Arial" w:cs="Arial"/>
                <w:color w:val="000000"/>
                <w:sz w:val="16"/>
                <w:szCs w:val="16"/>
                <w:lang w:eastAsia="hr-HR"/>
              </w:rPr>
              <w:t>76,524</w:t>
            </w:r>
          </w:p>
        </w:tc>
        <w:tc>
          <w:tcPr>
            <w:tcW w:w="1000" w:type="dxa"/>
            <w:tcBorders>
              <w:top w:val="nil"/>
              <w:left w:val="nil"/>
              <w:bottom w:val="single" w:sz="4" w:space="0" w:color="000080"/>
              <w:right w:val="single" w:sz="4" w:space="0" w:color="000080"/>
            </w:tcBorders>
            <w:shd w:val="clear" w:color="000000" w:fill="DCE6F1"/>
            <w:noWrap/>
            <w:vAlign w:val="center"/>
            <w:hideMark/>
          </w:tcPr>
          <w:p w:rsidR="00404C12" w:rsidRPr="007361F9" w:rsidRDefault="00404C12" w:rsidP="00404C12">
            <w:pPr>
              <w:spacing w:after="0" w:line="240" w:lineRule="auto"/>
              <w:jc w:val="right"/>
              <w:rPr>
                <w:rFonts w:ascii="Arial" w:eastAsia="Times New Roman" w:hAnsi="Arial" w:cs="Arial"/>
                <w:color w:val="000000"/>
                <w:sz w:val="16"/>
                <w:szCs w:val="16"/>
                <w:lang w:eastAsia="hr-HR"/>
              </w:rPr>
            </w:pPr>
            <w:r w:rsidRPr="007361F9">
              <w:rPr>
                <w:rFonts w:ascii="Arial" w:eastAsia="Times New Roman" w:hAnsi="Arial" w:cs="Arial"/>
                <w:color w:val="000000"/>
                <w:sz w:val="16"/>
                <w:szCs w:val="16"/>
                <w:lang w:eastAsia="hr-HR"/>
              </w:rPr>
              <w:t>208,567</w:t>
            </w:r>
          </w:p>
        </w:tc>
        <w:tc>
          <w:tcPr>
            <w:tcW w:w="1370" w:type="dxa"/>
            <w:tcBorders>
              <w:top w:val="nil"/>
              <w:left w:val="nil"/>
              <w:bottom w:val="single" w:sz="4" w:space="0" w:color="000080"/>
              <w:right w:val="single" w:sz="4" w:space="0" w:color="000080"/>
            </w:tcBorders>
            <w:shd w:val="clear" w:color="000000" w:fill="DCE6F1"/>
            <w:noWrap/>
            <w:vAlign w:val="center"/>
            <w:hideMark/>
          </w:tcPr>
          <w:p w:rsidR="00404C12" w:rsidRPr="007361F9" w:rsidRDefault="00404C12" w:rsidP="00404C12">
            <w:pPr>
              <w:spacing w:after="0" w:line="240" w:lineRule="auto"/>
              <w:jc w:val="right"/>
              <w:rPr>
                <w:rFonts w:ascii="Arial" w:eastAsia="Times New Roman" w:hAnsi="Arial" w:cs="Arial"/>
                <w:color w:val="000000"/>
                <w:sz w:val="16"/>
                <w:szCs w:val="16"/>
                <w:lang w:eastAsia="hr-HR"/>
              </w:rPr>
            </w:pPr>
            <w:r w:rsidRPr="007361F9">
              <w:rPr>
                <w:rFonts w:ascii="Arial" w:eastAsia="Times New Roman" w:hAnsi="Arial" w:cs="Arial"/>
                <w:color w:val="000000"/>
                <w:sz w:val="16"/>
                <w:szCs w:val="16"/>
                <w:lang w:eastAsia="hr-HR"/>
              </w:rPr>
              <w:t>89,61</w:t>
            </w:r>
            <w:r w:rsidR="00E72E4E" w:rsidRPr="007361F9">
              <w:rPr>
                <w:rFonts w:ascii="Arial" w:eastAsia="Times New Roman" w:hAnsi="Arial" w:cs="Arial"/>
                <w:color w:val="000000"/>
                <w:sz w:val="16"/>
                <w:szCs w:val="16"/>
                <w:lang w:eastAsia="hr-HR"/>
              </w:rPr>
              <w:t>0</w:t>
            </w:r>
          </w:p>
        </w:tc>
      </w:tr>
      <w:tr w:rsidR="00404C12" w:rsidRPr="007361F9" w:rsidTr="006B7B79">
        <w:trPr>
          <w:trHeight w:val="300"/>
          <w:jc w:val="center"/>
        </w:trPr>
        <w:tc>
          <w:tcPr>
            <w:tcW w:w="1300" w:type="dxa"/>
            <w:tcBorders>
              <w:top w:val="nil"/>
              <w:left w:val="single" w:sz="4" w:space="0" w:color="000080"/>
              <w:bottom w:val="single" w:sz="4" w:space="0" w:color="000080"/>
              <w:right w:val="single" w:sz="4" w:space="0" w:color="000080"/>
            </w:tcBorders>
            <w:shd w:val="clear" w:color="auto" w:fill="auto"/>
            <w:noWrap/>
            <w:vAlign w:val="center"/>
            <w:hideMark/>
          </w:tcPr>
          <w:p w:rsidR="00404C12" w:rsidRPr="007361F9" w:rsidRDefault="00404C12" w:rsidP="007361F9">
            <w:pPr>
              <w:spacing w:after="0" w:line="240" w:lineRule="auto"/>
              <w:ind w:firstLineChars="200" w:firstLine="320"/>
              <w:rPr>
                <w:rFonts w:ascii="Arial" w:eastAsia="Times New Roman" w:hAnsi="Arial" w:cs="Arial"/>
                <w:sz w:val="16"/>
                <w:szCs w:val="16"/>
                <w:lang w:eastAsia="hr-HR"/>
              </w:rPr>
            </w:pPr>
            <w:r w:rsidRPr="007361F9">
              <w:rPr>
                <w:rFonts w:ascii="Arial" w:eastAsia="Times New Roman" w:hAnsi="Arial" w:cs="Arial"/>
                <w:sz w:val="16"/>
                <w:szCs w:val="16"/>
                <w:lang w:eastAsia="hr-HR"/>
              </w:rPr>
              <w:t>- 1+2+8</w:t>
            </w:r>
          </w:p>
        </w:tc>
        <w:tc>
          <w:tcPr>
            <w:tcW w:w="1000" w:type="dxa"/>
            <w:tcBorders>
              <w:top w:val="nil"/>
              <w:left w:val="nil"/>
              <w:bottom w:val="single" w:sz="4" w:space="0" w:color="000080"/>
              <w:right w:val="single" w:sz="4" w:space="0" w:color="000080"/>
            </w:tcBorders>
            <w:shd w:val="clear" w:color="auto" w:fill="auto"/>
            <w:noWrap/>
            <w:vAlign w:val="center"/>
            <w:hideMark/>
          </w:tcPr>
          <w:p w:rsidR="00404C12" w:rsidRPr="007361F9" w:rsidRDefault="00404C12" w:rsidP="00404C12">
            <w:pPr>
              <w:spacing w:after="0" w:line="240" w:lineRule="auto"/>
              <w:jc w:val="right"/>
              <w:rPr>
                <w:rFonts w:ascii="Arial" w:eastAsia="Times New Roman" w:hAnsi="Arial" w:cs="Arial"/>
                <w:b/>
                <w:bCs/>
                <w:color w:val="000000"/>
                <w:sz w:val="16"/>
                <w:szCs w:val="16"/>
                <w:lang w:eastAsia="hr-HR"/>
              </w:rPr>
            </w:pPr>
            <w:r w:rsidRPr="007361F9">
              <w:rPr>
                <w:rFonts w:ascii="Arial" w:eastAsia="Times New Roman" w:hAnsi="Arial" w:cs="Arial"/>
                <w:b/>
                <w:bCs/>
                <w:color w:val="000000"/>
                <w:sz w:val="16"/>
                <w:szCs w:val="16"/>
                <w:lang w:eastAsia="hr-HR"/>
              </w:rPr>
              <w:t>588,509</w:t>
            </w:r>
          </w:p>
        </w:tc>
        <w:tc>
          <w:tcPr>
            <w:tcW w:w="1000" w:type="dxa"/>
            <w:tcBorders>
              <w:top w:val="nil"/>
              <w:left w:val="nil"/>
              <w:bottom w:val="single" w:sz="4" w:space="0" w:color="000080"/>
              <w:right w:val="single" w:sz="4" w:space="0" w:color="000080"/>
            </w:tcBorders>
            <w:shd w:val="clear" w:color="auto" w:fill="auto"/>
            <w:noWrap/>
            <w:vAlign w:val="center"/>
            <w:hideMark/>
          </w:tcPr>
          <w:p w:rsidR="00404C12" w:rsidRPr="007361F9" w:rsidRDefault="00404C12" w:rsidP="00404C12">
            <w:pPr>
              <w:spacing w:after="0" w:line="240" w:lineRule="auto"/>
              <w:jc w:val="right"/>
              <w:rPr>
                <w:rFonts w:ascii="Arial" w:eastAsia="Times New Roman" w:hAnsi="Arial" w:cs="Arial"/>
                <w:color w:val="000000"/>
                <w:sz w:val="16"/>
                <w:szCs w:val="16"/>
                <w:lang w:eastAsia="hr-HR"/>
              </w:rPr>
            </w:pPr>
            <w:r w:rsidRPr="007361F9">
              <w:rPr>
                <w:rFonts w:ascii="Arial" w:eastAsia="Times New Roman" w:hAnsi="Arial" w:cs="Arial"/>
                <w:color w:val="000000"/>
                <w:sz w:val="16"/>
                <w:szCs w:val="16"/>
                <w:lang w:eastAsia="hr-HR"/>
              </w:rPr>
              <w:t>189,301</w:t>
            </w:r>
          </w:p>
        </w:tc>
        <w:tc>
          <w:tcPr>
            <w:tcW w:w="1000" w:type="dxa"/>
            <w:tcBorders>
              <w:top w:val="nil"/>
              <w:left w:val="nil"/>
              <w:bottom w:val="single" w:sz="4" w:space="0" w:color="000080"/>
              <w:right w:val="single" w:sz="4" w:space="0" w:color="000080"/>
            </w:tcBorders>
            <w:shd w:val="clear" w:color="auto" w:fill="auto"/>
            <w:noWrap/>
            <w:vAlign w:val="center"/>
            <w:hideMark/>
          </w:tcPr>
          <w:p w:rsidR="00404C12" w:rsidRPr="007361F9" w:rsidRDefault="00404C12" w:rsidP="00404C12">
            <w:pPr>
              <w:spacing w:after="0" w:line="240" w:lineRule="auto"/>
              <w:jc w:val="right"/>
              <w:rPr>
                <w:rFonts w:ascii="Arial" w:eastAsia="Times New Roman" w:hAnsi="Arial" w:cs="Arial"/>
                <w:color w:val="000000"/>
                <w:sz w:val="16"/>
                <w:szCs w:val="16"/>
                <w:lang w:eastAsia="hr-HR"/>
              </w:rPr>
            </w:pPr>
            <w:r w:rsidRPr="007361F9">
              <w:rPr>
                <w:rFonts w:ascii="Arial" w:eastAsia="Times New Roman" w:hAnsi="Arial" w:cs="Arial"/>
                <w:color w:val="000000"/>
                <w:sz w:val="16"/>
                <w:szCs w:val="16"/>
                <w:lang w:eastAsia="hr-HR"/>
              </w:rPr>
              <w:t>39,252</w:t>
            </w:r>
          </w:p>
        </w:tc>
        <w:tc>
          <w:tcPr>
            <w:tcW w:w="1000" w:type="dxa"/>
            <w:tcBorders>
              <w:top w:val="nil"/>
              <w:left w:val="nil"/>
              <w:bottom w:val="single" w:sz="4" w:space="0" w:color="000080"/>
              <w:right w:val="single" w:sz="4" w:space="0" w:color="000080"/>
            </w:tcBorders>
            <w:shd w:val="clear" w:color="auto" w:fill="auto"/>
            <w:noWrap/>
            <w:vAlign w:val="center"/>
            <w:hideMark/>
          </w:tcPr>
          <w:p w:rsidR="00404C12" w:rsidRPr="007361F9" w:rsidRDefault="00404C12" w:rsidP="00404C12">
            <w:pPr>
              <w:spacing w:after="0" w:line="240" w:lineRule="auto"/>
              <w:jc w:val="right"/>
              <w:rPr>
                <w:rFonts w:ascii="Arial" w:eastAsia="Times New Roman" w:hAnsi="Arial" w:cs="Arial"/>
                <w:color w:val="000000"/>
                <w:sz w:val="16"/>
                <w:szCs w:val="16"/>
                <w:lang w:eastAsia="hr-HR"/>
              </w:rPr>
            </w:pPr>
            <w:r w:rsidRPr="007361F9">
              <w:rPr>
                <w:rFonts w:ascii="Arial" w:eastAsia="Times New Roman" w:hAnsi="Arial" w:cs="Arial"/>
                <w:color w:val="000000"/>
                <w:sz w:val="16"/>
                <w:szCs w:val="16"/>
                <w:lang w:eastAsia="hr-HR"/>
              </w:rPr>
              <w:t>72,182</w:t>
            </w:r>
          </w:p>
        </w:tc>
        <w:tc>
          <w:tcPr>
            <w:tcW w:w="1000" w:type="dxa"/>
            <w:tcBorders>
              <w:top w:val="nil"/>
              <w:left w:val="nil"/>
              <w:bottom w:val="single" w:sz="4" w:space="0" w:color="000080"/>
              <w:right w:val="single" w:sz="4" w:space="0" w:color="000080"/>
            </w:tcBorders>
            <w:shd w:val="clear" w:color="auto" w:fill="auto"/>
            <w:noWrap/>
            <w:vAlign w:val="center"/>
            <w:hideMark/>
          </w:tcPr>
          <w:p w:rsidR="00404C12" w:rsidRPr="007361F9" w:rsidRDefault="00404C12" w:rsidP="00404C12">
            <w:pPr>
              <w:spacing w:after="0" w:line="240" w:lineRule="auto"/>
              <w:jc w:val="right"/>
              <w:rPr>
                <w:rFonts w:ascii="Arial" w:eastAsia="Times New Roman" w:hAnsi="Arial" w:cs="Arial"/>
                <w:color w:val="000000"/>
                <w:sz w:val="16"/>
                <w:szCs w:val="16"/>
                <w:lang w:eastAsia="hr-HR"/>
              </w:rPr>
            </w:pPr>
            <w:r w:rsidRPr="007361F9">
              <w:rPr>
                <w:rFonts w:ascii="Arial" w:eastAsia="Times New Roman" w:hAnsi="Arial" w:cs="Arial"/>
                <w:color w:val="000000"/>
                <w:sz w:val="16"/>
                <w:szCs w:val="16"/>
                <w:lang w:eastAsia="hr-HR"/>
              </w:rPr>
              <w:t>199,803</w:t>
            </w:r>
          </w:p>
        </w:tc>
        <w:tc>
          <w:tcPr>
            <w:tcW w:w="1370" w:type="dxa"/>
            <w:tcBorders>
              <w:top w:val="nil"/>
              <w:left w:val="nil"/>
              <w:bottom w:val="single" w:sz="4" w:space="0" w:color="000080"/>
              <w:right w:val="single" w:sz="4" w:space="0" w:color="000080"/>
            </w:tcBorders>
            <w:shd w:val="clear" w:color="auto" w:fill="auto"/>
            <w:noWrap/>
            <w:vAlign w:val="center"/>
            <w:hideMark/>
          </w:tcPr>
          <w:p w:rsidR="00404C12" w:rsidRPr="007361F9" w:rsidRDefault="00404C12" w:rsidP="00404C12">
            <w:pPr>
              <w:spacing w:after="0" w:line="240" w:lineRule="auto"/>
              <w:jc w:val="right"/>
              <w:rPr>
                <w:rFonts w:ascii="Arial" w:eastAsia="Times New Roman" w:hAnsi="Arial" w:cs="Arial"/>
                <w:color w:val="000000"/>
                <w:sz w:val="16"/>
                <w:szCs w:val="16"/>
                <w:lang w:eastAsia="hr-HR"/>
              </w:rPr>
            </w:pPr>
            <w:r w:rsidRPr="007361F9">
              <w:rPr>
                <w:rFonts w:ascii="Arial" w:eastAsia="Times New Roman" w:hAnsi="Arial" w:cs="Arial"/>
                <w:color w:val="000000"/>
                <w:sz w:val="16"/>
                <w:szCs w:val="16"/>
                <w:lang w:eastAsia="hr-HR"/>
              </w:rPr>
              <w:t>87,97</w:t>
            </w:r>
            <w:r w:rsidR="00E72E4E" w:rsidRPr="007361F9">
              <w:rPr>
                <w:rFonts w:ascii="Arial" w:eastAsia="Times New Roman" w:hAnsi="Arial" w:cs="Arial"/>
                <w:color w:val="000000"/>
                <w:sz w:val="16"/>
                <w:szCs w:val="16"/>
                <w:lang w:eastAsia="hr-HR"/>
              </w:rPr>
              <w:t>0</w:t>
            </w:r>
          </w:p>
        </w:tc>
      </w:tr>
      <w:tr w:rsidR="00404C12" w:rsidRPr="007361F9" w:rsidTr="006B7B79">
        <w:trPr>
          <w:trHeight w:val="300"/>
          <w:jc w:val="center"/>
        </w:trPr>
        <w:tc>
          <w:tcPr>
            <w:tcW w:w="1300" w:type="dxa"/>
            <w:tcBorders>
              <w:top w:val="nil"/>
              <w:left w:val="single" w:sz="4" w:space="0" w:color="000080"/>
              <w:bottom w:val="single" w:sz="4" w:space="0" w:color="000080"/>
              <w:right w:val="single" w:sz="4" w:space="0" w:color="000080"/>
            </w:tcBorders>
            <w:shd w:val="clear" w:color="auto" w:fill="auto"/>
            <w:noWrap/>
            <w:vAlign w:val="center"/>
            <w:hideMark/>
          </w:tcPr>
          <w:p w:rsidR="00404C12" w:rsidRPr="007361F9" w:rsidRDefault="00404C12" w:rsidP="007361F9">
            <w:pPr>
              <w:spacing w:after="0" w:line="240" w:lineRule="auto"/>
              <w:ind w:firstLineChars="200" w:firstLine="320"/>
              <w:rPr>
                <w:rFonts w:ascii="Arial" w:eastAsia="Times New Roman" w:hAnsi="Arial" w:cs="Arial"/>
                <w:sz w:val="16"/>
                <w:szCs w:val="16"/>
                <w:lang w:eastAsia="hr-HR"/>
              </w:rPr>
            </w:pPr>
            <w:r w:rsidRPr="007361F9">
              <w:rPr>
                <w:rFonts w:ascii="Arial" w:eastAsia="Times New Roman" w:hAnsi="Arial" w:cs="Arial"/>
                <w:sz w:val="16"/>
                <w:szCs w:val="16"/>
                <w:lang w:eastAsia="hr-HR"/>
              </w:rPr>
              <w:t>- ostali izvori</w:t>
            </w:r>
          </w:p>
        </w:tc>
        <w:tc>
          <w:tcPr>
            <w:tcW w:w="1000" w:type="dxa"/>
            <w:tcBorders>
              <w:top w:val="nil"/>
              <w:left w:val="nil"/>
              <w:bottom w:val="single" w:sz="4" w:space="0" w:color="000080"/>
              <w:right w:val="single" w:sz="4" w:space="0" w:color="000080"/>
            </w:tcBorders>
            <w:shd w:val="clear" w:color="auto" w:fill="auto"/>
            <w:noWrap/>
            <w:vAlign w:val="center"/>
            <w:hideMark/>
          </w:tcPr>
          <w:p w:rsidR="00404C12" w:rsidRPr="007361F9" w:rsidRDefault="00404C12" w:rsidP="00404C12">
            <w:pPr>
              <w:spacing w:after="0" w:line="240" w:lineRule="auto"/>
              <w:jc w:val="right"/>
              <w:rPr>
                <w:rFonts w:ascii="Arial" w:eastAsia="Times New Roman" w:hAnsi="Arial" w:cs="Arial"/>
                <w:b/>
                <w:bCs/>
                <w:color w:val="000000"/>
                <w:sz w:val="16"/>
                <w:szCs w:val="16"/>
                <w:lang w:eastAsia="hr-HR"/>
              </w:rPr>
            </w:pPr>
            <w:r w:rsidRPr="007361F9">
              <w:rPr>
                <w:rFonts w:ascii="Arial" w:eastAsia="Times New Roman" w:hAnsi="Arial" w:cs="Arial"/>
                <w:b/>
                <w:bCs/>
                <w:color w:val="000000"/>
                <w:sz w:val="16"/>
                <w:szCs w:val="16"/>
                <w:lang w:eastAsia="hr-HR"/>
              </w:rPr>
              <w:t>22,583</w:t>
            </w:r>
          </w:p>
        </w:tc>
        <w:tc>
          <w:tcPr>
            <w:tcW w:w="1000" w:type="dxa"/>
            <w:tcBorders>
              <w:top w:val="nil"/>
              <w:left w:val="nil"/>
              <w:bottom w:val="single" w:sz="4" w:space="0" w:color="000080"/>
              <w:right w:val="single" w:sz="4" w:space="0" w:color="000080"/>
            </w:tcBorders>
            <w:shd w:val="clear" w:color="auto" w:fill="auto"/>
            <w:noWrap/>
            <w:vAlign w:val="center"/>
            <w:hideMark/>
          </w:tcPr>
          <w:p w:rsidR="00404C12" w:rsidRPr="007361F9" w:rsidRDefault="00404C12" w:rsidP="00404C12">
            <w:pPr>
              <w:spacing w:after="0" w:line="240" w:lineRule="auto"/>
              <w:jc w:val="right"/>
              <w:rPr>
                <w:rFonts w:ascii="Arial" w:eastAsia="Times New Roman" w:hAnsi="Arial" w:cs="Arial"/>
                <w:color w:val="000000"/>
                <w:sz w:val="16"/>
                <w:szCs w:val="16"/>
                <w:lang w:eastAsia="hr-HR"/>
              </w:rPr>
            </w:pPr>
            <w:r w:rsidRPr="007361F9">
              <w:rPr>
                <w:rFonts w:ascii="Arial" w:eastAsia="Times New Roman" w:hAnsi="Arial" w:cs="Arial"/>
                <w:color w:val="000000"/>
                <w:sz w:val="16"/>
                <w:szCs w:val="16"/>
                <w:lang w:eastAsia="hr-HR"/>
              </w:rPr>
              <w:t>7,63</w:t>
            </w:r>
          </w:p>
        </w:tc>
        <w:tc>
          <w:tcPr>
            <w:tcW w:w="1000" w:type="dxa"/>
            <w:tcBorders>
              <w:top w:val="nil"/>
              <w:left w:val="nil"/>
              <w:bottom w:val="single" w:sz="4" w:space="0" w:color="000080"/>
              <w:right w:val="single" w:sz="4" w:space="0" w:color="000080"/>
            </w:tcBorders>
            <w:shd w:val="clear" w:color="auto" w:fill="auto"/>
            <w:noWrap/>
            <w:vAlign w:val="center"/>
            <w:hideMark/>
          </w:tcPr>
          <w:p w:rsidR="00404C12" w:rsidRPr="007361F9" w:rsidRDefault="00692111" w:rsidP="00404C12">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00404C12" w:rsidRPr="007361F9">
              <w:rPr>
                <w:rFonts w:ascii="Arial" w:eastAsia="Times New Roman" w:hAnsi="Arial" w:cs="Arial"/>
                <w:color w:val="000000"/>
                <w:sz w:val="16"/>
                <w:szCs w:val="16"/>
                <w:lang w:eastAsia="hr-HR"/>
              </w:rPr>
              <w:t>,208</w:t>
            </w:r>
          </w:p>
        </w:tc>
        <w:tc>
          <w:tcPr>
            <w:tcW w:w="1000" w:type="dxa"/>
            <w:tcBorders>
              <w:top w:val="nil"/>
              <w:left w:val="nil"/>
              <w:bottom w:val="single" w:sz="4" w:space="0" w:color="000080"/>
              <w:right w:val="single" w:sz="4" w:space="0" w:color="000080"/>
            </w:tcBorders>
            <w:shd w:val="clear" w:color="auto" w:fill="auto"/>
            <w:noWrap/>
            <w:vAlign w:val="center"/>
            <w:hideMark/>
          </w:tcPr>
          <w:p w:rsidR="00404C12" w:rsidRPr="007361F9" w:rsidRDefault="00404C12" w:rsidP="00404C12">
            <w:pPr>
              <w:spacing w:after="0" w:line="240" w:lineRule="auto"/>
              <w:jc w:val="right"/>
              <w:rPr>
                <w:rFonts w:ascii="Arial" w:eastAsia="Times New Roman" w:hAnsi="Arial" w:cs="Arial"/>
                <w:color w:val="000000"/>
                <w:sz w:val="16"/>
                <w:szCs w:val="16"/>
                <w:lang w:eastAsia="hr-HR"/>
              </w:rPr>
            </w:pPr>
            <w:r w:rsidRPr="007361F9">
              <w:rPr>
                <w:rFonts w:ascii="Arial" w:eastAsia="Times New Roman" w:hAnsi="Arial" w:cs="Arial"/>
                <w:color w:val="000000"/>
                <w:sz w:val="16"/>
                <w:szCs w:val="16"/>
                <w:lang w:eastAsia="hr-HR"/>
              </w:rPr>
              <w:t>4,341</w:t>
            </w:r>
          </w:p>
        </w:tc>
        <w:tc>
          <w:tcPr>
            <w:tcW w:w="1000" w:type="dxa"/>
            <w:tcBorders>
              <w:top w:val="nil"/>
              <w:left w:val="nil"/>
              <w:bottom w:val="single" w:sz="4" w:space="0" w:color="000080"/>
              <w:right w:val="single" w:sz="4" w:space="0" w:color="000080"/>
            </w:tcBorders>
            <w:shd w:val="clear" w:color="auto" w:fill="auto"/>
            <w:noWrap/>
            <w:vAlign w:val="center"/>
            <w:hideMark/>
          </w:tcPr>
          <w:p w:rsidR="00404C12" w:rsidRPr="007361F9" w:rsidRDefault="00404C12" w:rsidP="00404C12">
            <w:pPr>
              <w:spacing w:after="0" w:line="240" w:lineRule="auto"/>
              <w:jc w:val="right"/>
              <w:rPr>
                <w:rFonts w:ascii="Arial" w:eastAsia="Times New Roman" w:hAnsi="Arial" w:cs="Arial"/>
                <w:color w:val="000000"/>
                <w:sz w:val="16"/>
                <w:szCs w:val="16"/>
                <w:lang w:eastAsia="hr-HR"/>
              </w:rPr>
            </w:pPr>
            <w:r w:rsidRPr="007361F9">
              <w:rPr>
                <w:rFonts w:ascii="Arial" w:eastAsia="Times New Roman" w:hAnsi="Arial" w:cs="Arial"/>
                <w:color w:val="000000"/>
                <w:sz w:val="16"/>
                <w:szCs w:val="16"/>
                <w:lang w:eastAsia="hr-HR"/>
              </w:rPr>
              <w:t>8,764</w:t>
            </w:r>
          </w:p>
        </w:tc>
        <w:tc>
          <w:tcPr>
            <w:tcW w:w="1370" w:type="dxa"/>
            <w:tcBorders>
              <w:top w:val="nil"/>
              <w:left w:val="nil"/>
              <w:bottom w:val="single" w:sz="4" w:space="0" w:color="000080"/>
              <w:right w:val="single" w:sz="4" w:space="0" w:color="000080"/>
            </w:tcBorders>
            <w:shd w:val="clear" w:color="auto" w:fill="auto"/>
            <w:noWrap/>
            <w:vAlign w:val="center"/>
            <w:hideMark/>
          </w:tcPr>
          <w:p w:rsidR="00404C12" w:rsidRPr="007361F9" w:rsidRDefault="00404C12" w:rsidP="00404C12">
            <w:pPr>
              <w:spacing w:after="0" w:line="240" w:lineRule="auto"/>
              <w:jc w:val="right"/>
              <w:rPr>
                <w:rFonts w:ascii="Arial" w:eastAsia="Times New Roman" w:hAnsi="Arial" w:cs="Arial"/>
                <w:color w:val="000000"/>
                <w:sz w:val="16"/>
                <w:szCs w:val="16"/>
                <w:lang w:eastAsia="hr-HR"/>
              </w:rPr>
            </w:pPr>
            <w:r w:rsidRPr="007361F9">
              <w:rPr>
                <w:rFonts w:ascii="Arial" w:eastAsia="Times New Roman" w:hAnsi="Arial" w:cs="Arial"/>
                <w:color w:val="000000"/>
                <w:sz w:val="16"/>
                <w:szCs w:val="16"/>
                <w:lang w:eastAsia="hr-HR"/>
              </w:rPr>
              <w:t>1,64</w:t>
            </w:r>
            <w:r w:rsidR="00E72E4E" w:rsidRPr="007361F9">
              <w:rPr>
                <w:rFonts w:ascii="Arial" w:eastAsia="Times New Roman" w:hAnsi="Arial" w:cs="Arial"/>
                <w:color w:val="000000"/>
                <w:sz w:val="16"/>
                <w:szCs w:val="16"/>
                <w:lang w:eastAsia="hr-HR"/>
              </w:rPr>
              <w:t>0</w:t>
            </w:r>
          </w:p>
        </w:tc>
      </w:tr>
    </w:tbl>
    <w:p w:rsidR="008B7E54" w:rsidRPr="00FA7F54" w:rsidRDefault="008B7E54" w:rsidP="007630B3">
      <w:pPr>
        <w:shd w:val="clear" w:color="auto" w:fill="FFFFFF"/>
        <w:spacing w:after="0" w:line="240" w:lineRule="auto"/>
        <w:jc w:val="both"/>
        <w:rPr>
          <w:rFonts w:ascii="Times New Roman" w:hAnsi="Times New Roman" w:cs="Times New Roman"/>
        </w:rPr>
      </w:pPr>
    </w:p>
    <w:p w:rsidR="003D2B5A" w:rsidRPr="009D775E" w:rsidRDefault="003D2B5A" w:rsidP="000070A2">
      <w:pPr>
        <w:shd w:val="clear" w:color="auto" w:fill="FFFFFF"/>
        <w:spacing w:after="0" w:line="240" w:lineRule="auto"/>
        <w:ind w:firstLine="360"/>
        <w:jc w:val="both"/>
        <w:rPr>
          <w:rFonts w:ascii="Times New Roman" w:hAnsi="Times New Roman" w:cs="Times New Roman"/>
          <w:u w:val="single"/>
        </w:rPr>
      </w:pPr>
      <w:r w:rsidRPr="009D775E">
        <w:rPr>
          <w:rFonts w:ascii="Times New Roman" w:hAnsi="Times New Roman" w:cs="Times New Roman"/>
          <w:u w:val="single"/>
        </w:rPr>
        <w:t>Mj</w:t>
      </w:r>
      <w:r w:rsidR="00A21D24" w:rsidRPr="009D775E">
        <w:rPr>
          <w:rFonts w:ascii="Times New Roman" w:hAnsi="Times New Roman" w:cs="Times New Roman"/>
          <w:u w:val="single"/>
        </w:rPr>
        <w:t>ere za smanjenje odnosno optim</w:t>
      </w:r>
      <w:r w:rsidRPr="009D775E">
        <w:rPr>
          <w:rFonts w:ascii="Times New Roman" w:hAnsi="Times New Roman" w:cs="Times New Roman"/>
          <w:u w:val="single"/>
        </w:rPr>
        <w:t>izaciju rashoda:</w:t>
      </w:r>
    </w:p>
    <w:p w:rsidR="00C64D76" w:rsidRPr="009D775E" w:rsidRDefault="00C64D76" w:rsidP="00922D60">
      <w:pPr>
        <w:pStyle w:val="Odlomakpopisa"/>
        <w:numPr>
          <w:ilvl w:val="0"/>
          <w:numId w:val="8"/>
        </w:numPr>
        <w:shd w:val="clear" w:color="auto" w:fill="FFFFFF"/>
        <w:spacing w:after="0" w:line="240" w:lineRule="auto"/>
        <w:jc w:val="both"/>
        <w:rPr>
          <w:rFonts w:ascii="Times New Roman" w:hAnsi="Times New Roman" w:cs="Times New Roman"/>
        </w:rPr>
      </w:pPr>
      <w:r w:rsidRPr="009D775E">
        <w:rPr>
          <w:rFonts w:ascii="Times New Roman" w:hAnsi="Times New Roman" w:cs="Times New Roman"/>
        </w:rPr>
        <w:t xml:space="preserve">Optimizacija/standardizacija proizvoda i usluga i ostvarivanja ušteda u javnoj potrošnji  kroz učinkoviti sustav središnje javne nabave </w:t>
      </w:r>
    </w:p>
    <w:p w:rsidR="00E31312" w:rsidRPr="00BF5F3B" w:rsidRDefault="00E31312" w:rsidP="008D3A3B">
      <w:pPr>
        <w:shd w:val="clear" w:color="auto" w:fill="FFFFFF"/>
        <w:spacing w:after="0" w:line="240" w:lineRule="auto"/>
        <w:jc w:val="both"/>
        <w:rPr>
          <w:rFonts w:ascii="Times New Roman" w:hAnsi="Times New Roman" w:cs="Times New Roman"/>
        </w:rPr>
      </w:pPr>
      <w:r w:rsidRPr="009D775E">
        <w:rPr>
          <w:rFonts w:ascii="Times New Roman" w:hAnsi="Times New Roman" w:cs="Times New Roman"/>
        </w:rPr>
        <w:t xml:space="preserve">Sukladno Uredbi o unutarnjem ustrojstvu Državnog ureda </w:t>
      </w:r>
      <w:r w:rsidR="00BE01F6">
        <w:rPr>
          <w:rFonts w:ascii="Times New Roman" w:hAnsi="Times New Roman" w:cs="Times New Roman"/>
        </w:rPr>
        <w:t xml:space="preserve">za središnju javnu nabavu, </w:t>
      </w:r>
      <w:r w:rsidRPr="009D775E">
        <w:rPr>
          <w:rFonts w:ascii="Times New Roman" w:hAnsi="Times New Roman" w:cs="Times New Roman"/>
        </w:rPr>
        <w:t>obveznici središnje javne nabave su u pravilu 34 tijela državne uprave za 17 nabavnih kategorija. Vlada je 2014. i 2015. godine ovlastila Državni ured za provedbu postupaka središnje javne nabave i za oko 520 dodatnih korisnika u nabavnim kategorijama gorivo, opskrba električnom energijom, mobilna telefonija, fiksna telefonija i poštanske usluge.</w:t>
      </w:r>
      <w:r w:rsidR="00250C0A" w:rsidRPr="009D775E">
        <w:rPr>
          <w:rFonts w:ascii="Times New Roman" w:hAnsi="Times New Roman" w:cs="Times New Roman"/>
        </w:rPr>
        <w:t xml:space="preserve"> Zbog smanjenja broja pravosudnih tijela, revidiran je broj dodatnih korisnika te zajedno s obveznicima središnje javne nabave ukupno obuhvaća 561 korisnika središnje javne nabave.</w:t>
      </w:r>
    </w:p>
    <w:p w:rsidR="00997FC1" w:rsidRPr="00997FC1" w:rsidRDefault="00997FC1" w:rsidP="008D3A3B">
      <w:pPr>
        <w:shd w:val="clear" w:color="auto" w:fill="FFFFFF"/>
        <w:spacing w:after="0" w:line="240" w:lineRule="auto"/>
        <w:jc w:val="both"/>
        <w:rPr>
          <w:rFonts w:ascii="Times New Roman" w:hAnsi="Times New Roman" w:cs="Times New Roman"/>
        </w:rPr>
      </w:pPr>
      <w:r w:rsidRPr="00997FC1">
        <w:rPr>
          <w:rFonts w:ascii="Times New Roman" w:hAnsi="Times New Roman" w:cs="Times New Roman"/>
        </w:rPr>
        <w:t xml:space="preserve">U 2014. proveden je postupak </w:t>
      </w:r>
      <w:r w:rsidRPr="00E30DF8">
        <w:rPr>
          <w:rFonts w:ascii="Times New Roman" w:hAnsi="Times New Roman" w:cs="Times New Roman"/>
        </w:rPr>
        <w:t>nabave</w:t>
      </w:r>
      <w:r w:rsidRPr="00997FC1">
        <w:rPr>
          <w:rFonts w:ascii="Times New Roman" w:hAnsi="Times New Roman" w:cs="Times New Roman"/>
        </w:rPr>
        <w:t xml:space="preserve"> </w:t>
      </w:r>
      <w:r w:rsidRPr="00E30DF8">
        <w:rPr>
          <w:rFonts w:ascii="Times New Roman" w:hAnsi="Times New Roman" w:cs="Times New Roman"/>
          <w:b/>
        </w:rPr>
        <w:t>opskrbe električnom energijom</w:t>
      </w:r>
      <w:r w:rsidRPr="00997FC1">
        <w:rPr>
          <w:rFonts w:ascii="Times New Roman" w:hAnsi="Times New Roman" w:cs="Times New Roman"/>
        </w:rPr>
        <w:t xml:space="preserve"> za 520 korisnika u iznosu 35 mil. kuna bez PDV-a te je ostvareno 4% uštede u odnosu na tadašnje prosječne tržišne cijene. </w:t>
      </w:r>
    </w:p>
    <w:p w:rsidR="00997FC1" w:rsidRPr="00997FC1" w:rsidRDefault="00997FC1" w:rsidP="008D3A3B">
      <w:pPr>
        <w:shd w:val="clear" w:color="auto" w:fill="FFFFFF"/>
        <w:spacing w:after="0" w:line="240" w:lineRule="auto"/>
        <w:jc w:val="both"/>
        <w:rPr>
          <w:rFonts w:ascii="Times New Roman" w:hAnsi="Times New Roman" w:cs="Times New Roman"/>
        </w:rPr>
      </w:pPr>
      <w:r w:rsidRPr="00997FC1">
        <w:rPr>
          <w:rFonts w:ascii="Times New Roman" w:hAnsi="Times New Roman" w:cs="Times New Roman"/>
        </w:rPr>
        <w:t>U 2015. godini provedena je zelena javna nabava opskrbe električnom energijom iz obnovljivih izvora energije, procijenjene vrijednosti  u iznosu 165 mil. kuna bez PDV-a za 34 obveznika središnje na</w:t>
      </w:r>
      <w:r w:rsidR="00E30DF8">
        <w:rPr>
          <w:rFonts w:ascii="Times New Roman" w:hAnsi="Times New Roman" w:cs="Times New Roman"/>
        </w:rPr>
        <w:t xml:space="preserve">bave i 520 dodatnih korisnika. </w:t>
      </w:r>
      <w:r w:rsidRPr="00997FC1">
        <w:rPr>
          <w:rFonts w:ascii="Times New Roman" w:hAnsi="Times New Roman" w:cs="Times New Roman"/>
        </w:rPr>
        <w:t xml:space="preserve">Cijene postignute u nadmetanju su od 2 do 20% manje u odnosu na </w:t>
      </w:r>
      <w:r w:rsidRPr="00997FC1">
        <w:rPr>
          <w:rFonts w:ascii="Times New Roman" w:hAnsi="Times New Roman" w:cs="Times New Roman"/>
        </w:rPr>
        <w:lastRenderedPageBreak/>
        <w:t xml:space="preserve">prosječne tržišne cijene (ovisno o tarifnom modelu), ali su ukupno očekuje </w:t>
      </w:r>
      <w:proofErr w:type="spellStart"/>
      <w:r w:rsidRPr="00997FC1">
        <w:rPr>
          <w:rFonts w:ascii="Times New Roman" w:hAnsi="Times New Roman" w:cs="Times New Roman"/>
        </w:rPr>
        <w:t>cca</w:t>
      </w:r>
      <w:proofErr w:type="spellEnd"/>
      <w:r w:rsidRPr="00997FC1">
        <w:rPr>
          <w:rFonts w:ascii="Times New Roman" w:hAnsi="Times New Roman" w:cs="Times New Roman"/>
        </w:rPr>
        <w:t xml:space="preserve"> 4% uštede u odnosu na procijenjenu vrijednost.</w:t>
      </w:r>
    </w:p>
    <w:p w:rsidR="00997FC1" w:rsidRPr="00997FC1" w:rsidRDefault="00997FC1" w:rsidP="003627DB">
      <w:pPr>
        <w:spacing w:before="240" w:line="240" w:lineRule="auto"/>
        <w:jc w:val="both"/>
        <w:rPr>
          <w:rFonts w:ascii="Times New Roman" w:hAnsi="Times New Roman" w:cs="Times New Roman"/>
        </w:rPr>
      </w:pPr>
      <w:r w:rsidRPr="00997FC1">
        <w:rPr>
          <w:rFonts w:ascii="Times New Roman" w:hAnsi="Times New Roman" w:cs="Times New Roman"/>
        </w:rPr>
        <w:t xml:space="preserve">Postupak za </w:t>
      </w:r>
      <w:r w:rsidRPr="002154E8">
        <w:rPr>
          <w:rFonts w:ascii="Times New Roman" w:hAnsi="Times New Roman" w:cs="Times New Roman"/>
          <w:b/>
        </w:rPr>
        <w:t>nabavu goriva</w:t>
      </w:r>
      <w:r w:rsidRPr="00997FC1">
        <w:rPr>
          <w:rFonts w:ascii="Times New Roman" w:hAnsi="Times New Roman" w:cs="Times New Roman"/>
        </w:rPr>
        <w:t xml:space="preserve"> za 34 obveznika središnje jav</w:t>
      </w:r>
      <w:r w:rsidR="00996EB6">
        <w:rPr>
          <w:rFonts w:ascii="Times New Roman" w:hAnsi="Times New Roman" w:cs="Times New Roman"/>
        </w:rPr>
        <w:t>ne nabave DUSJN je proveo 2010.</w:t>
      </w:r>
      <w:r w:rsidRPr="00997FC1">
        <w:rPr>
          <w:rFonts w:ascii="Times New Roman" w:hAnsi="Times New Roman" w:cs="Times New Roman"/>
        </w:rPr>
        <w:t xml:space="preserve"> godine te su sklopljeni okvirn</w:t>
      </w:r>
      <w:r w:rsidR="005B6A93">
        <w:rPr>
          <w:rFonts w:ascii="Times New Roman" w:hAnsi="Times New Roman" w:cs="Times New Roman"/>
        </w:rPr>
        <w:t>i sporazumi</w:t>
      </w:r>
      <w:r w:rsidRPr="00997FC1">
        <w:rPr>
          <w:rFonts w:ascii="Times New Roman" w:hAnsi="Times New Roman" w:cs="Times New Roman"/>
        </w:rPr>
        <w:t xml:space="preserve"> na četverogodišnje razdoblje. Okvirnim sporazumima iz 2010. godine ostvaren je fiksni iznos popusta po pojedinim vrstama goriva u rasponu od 0,10 do 0,40 kuna po litri.</w:t>
      </w:r>
    </w:p>
    <w:p w:rsidR="00D20BDC" w:rsidRPr="00D20BDC" w:rsidRDefault="005B6A93" w:rsidP="005B6A93">
      <w:pPr>
        <w:spacing w:line="240" w:lineRule="auto"/>
        <w:jc w:val="both"/>
        <w:rPr>
          <w:rFonts w:ascii="Times New Roman" w:hAnsi="Times New Roman" w:cs="Times New Roman"/>
        </w:rPr>
      </w:pPr>
      <w:r>
        <w:rPr>
          <w:rFonts w:ascii="Times New Roman" w:hAnsi="Times New Roman" w:cs="Times New Roman"/>
        </w:rPr>
        <w:t>U 2014. godini</w:t>
      </w:r>
      <w:r w:rsidR="00997FC1" w:rsidRPr="00997FC1">
        <w:rPr>
          <w:rFonts w:ascii="Times New Roman" w:hAnsi="Times New Roman" w:cs="Times New Roman"/>
        </w:rPr>
        <w:t xml:space="preserve"> proveden je postupak procijenjene vrijednosti 395</w:t>
      </w:r>
      <w:r w:rsidR="00D17DF1">
        <w:rPr>
          <w:rFonts w:ascii="Times New Roman" w:hAnsi="Times New Roman" w:cs="Times New Roman"/>
        </w:rPr>
        <w:t xml:space="preserve"> </w:t>
      </w:r>
      <w:r w:rsidR="002B4894">
        <w:rPr>
          <w:rFonts w:ascii="Times New Roman" w:hAnsi="Times New Roman" w:cs="Times New Roman"/>
        </w:rPr>
        <w:t>mil.</w:t>
      </w:r>
      <w:r w:rsidR="00997FC1" w:rsidRPr="00997FC1">
        <w:rPr>
          <w:rFonts w:ascii="Times New Roman" w:hAnsi="Times New Roman" w:cs="Times New Roman"/>
        </w:rPr>
        <w:t xml:space="preserve"> kuna za dvogodišnje razdoblje, za 34 obveznika središnje nabave i 520 dodatnih korisnika. U postojećem Okvirnom sporazumu, posti</w:t>
      </w:r>
      <w:r w:rsidR="00996EB6">
        <w:rPr>
          <w:rFonts w:ascii="Times New Roman" w:hAnsi="Times New Roman" w:cs="Times New Roman"/>
        </w:rPr>
        <w:t xml:space="preserve">gnute su cijene koje su </w:t>
      </w:r>
      <w:proofErr w:type="spellStart"/>
      <w:r w:rsidR="00996EB6">
        <w:rPr>
          <w:rFonts w:ascii="Times New Roman" w:hAnsi="Times New Roman" w:cs="Times New Roman"/>
        </w:rPr>
        <w:t>cca</w:t>
      </w:r>
      <w:proofErr w:type="spellEnd"/>
      <w:r w:rsidR="00996EB6">
        <w:rPr>
          <w:rFonts w:ascii="Times New Roman" w:hAnsi="Times New Roman" w:cs="Times New Roman"/>
        </w:rPr>
        <w:t xml:space="preserve"> 8,5</w:t>
      </w:r>
      <w:r w:rsidR="00997FC1" w:rsidRPr="00997FC1">
        <w:rPr>
          <w:rFonts w:ascii="Times New Roman" w:hAnsi="Times New Roman" w:cs="Times New Roman"/>
        </w:rPr>
        <w:t xml:space="preserve">% niže od prosječnih tržišnih cijena te su po pojedinim vrstama goriva cijene niže i do 0,70 kuna po litri od tržišnih cijena. Primjenom navedenog postotka, može </w:t>
      </w:r>
      <w:r>
        <w:rPr>
          <w:rFonts w:ascii="Times New Roman" w:hAnsi="Times New Roman" w:cs="Times New Roman"/>
        </w:rPr>
        <w:t xml:space="preserve">se procijeniti ušteda od </w:t>
      </w:r>
      <w:proofErr w:type="spellStart"/>
      <w:r>
        <w:rPr>
          <w:rFonts w:ascii="Times New Roman" w:hAnsi="Times New Roman" w:cs="Times New Roman"/>
        </w:rPr>
        <w:t>cca</w:t>
      </w:r>
      <w:proofErr w:type="spellEnd"/>
      <w:r>
        <w:rPr>
          <w:rFonts w:ascii="Times New Roman" w:hAnsi="Times New Roman" w:cs="Times New Roman"/>
        </w:rPr>
        <w:t xml:space="preserve"> 30</w:t>
      </w:r>
      <w:r w:rsidR="00997FC1" w:rsidRPr="00997FC1">
        <w:rPr>
          <w:rFonts w:ascii="Times New Roman" w:hAnsi="Times New Roman" w:cs="Times New Roman"/>
        </w:rPr>
        <w:t xml:space="preserve"> milijuna kuna u odnosu na ukupnu procijenjenu vrijednost. </w:t>
      </w:r>
    </w:p>
    <w:p w:rsidR="003D2B5A" w:rsidRPr="00FA7F54" w:rsidRDefault="00D440F4" w:rsidP="00BF5F3B">
      <w:pPr>
        <w:pStyle w:val="Odlomakpopisa"/>
        <w:numPr>
          <w:ilvl w:val="0"/>
          <w:numId w:val="8"/>
        </w:numPr>
        <w:spacing w:before="240" w:after="0" w:line="240" w:lineRule="auto"/>
        <w:rPr>
          <w:rFonts w:ascii="Times New Roman" w:hAnsi="Times New Roman" w:cs="Times New Roman"/>
        </w:rPr>
      </w:pPr>
      <w:r w:rsidRPr="00FA7F54">
        <w:rPr>
          <w:rFonts w:ascii="Times New Roman" w:hAnsi="Times New Roman" w:cs="Times New Roman"/>
        </w:rPr>
        <w:t>Na jedinstven način urediti</w:t>
      </w:r>
      <w:r w:rsidR="00EB5F7B">
        <w:rPr>
          <w:rFonts w:ascii="Times New Roman" w:hAnsi="Times New Roman" w:cs="Times New Roman"/>
        </w:rPr>
        <w:t xml:space="preserve"> nabavu i</w:t>
      </w:r>
      <w:r w:rsidR="003D2B5A" w:rsidRPr="00FA7F54">
        <w:rPr>
          <w:rFonts w:ascii="Times New Roman" w:hAnsi="Times New Roman" w:cs="Times New Roman"/>
        </w:rPr>
        <w:t xml:space="preserve"> korištenje službenih vozila</w:t>
      </w:r>
      <w:r w:rsidR="00166BAB" w:rsidRPr="00FA7F54">
        <w:rPr>
          <w:rFonts w:ascii="Times New Roman" w:hAnsi="Times New Roman" w:cs="Times New Roman"/>
        </w:rPr>
        <w:t xml:space="preserve"> kod korisnika </w:t>
      </w:r>
    </w:p>
    <w:p w:rsidR="00245A6A" w:rsidRDefault="00D7007F" w:rsidP="00103582">
      <w:pPr>
        <w:spacing w:after="0" w:line="240" w:lineRule="auto"/>
        <w:jc w:val="both"/>
        <w:rPr>
          <w:rFonts w:ascii="Times New Roman" w:hAnsi="Times New Roman" w:cs="Times New Roman"/>
        </w:rPr>
      </w:pPr>
      <w:r w:rsidRPr="00FA7F54">
        <w:rPr>
          <w:rFonts w:ascii="Times New Roman" w:hAnsi="Times New Roman" w:cs="Times New Roman"/>
        </w:rPr>
        <w:t>Vezano za potrošnju goriva</w:t>
      </w:r>
      <w:r w:rsidR="00245A6A" w:rsidRPr="00FA7F54">
        <w:rPr>
          <w:rFonts w:ascii="Times New Roman" w:hAnsi="Times New Roman" w:cs="Times New Roman"/>
        </w:rPr>
        <w:t xml:space="preserve"> i korištenje službenih automobila</w:t>
      </w:r>
      <w:r w:rsidRPr="00FA7F54">
        <w:rPr>
          <w:rFonts w:ascii="Times New Roman" w:hAnsi="Times New Roman" w:cs="Times New Roman"/>
        </w:rPr>
        <w:t xml:space="preserve"> </w:t>
      </w:r>
      <w:r w:rsidR="00245A6A" w:rsidRPr="00FA7F54">
        <w:rPr>
          <w:rFonts w:ascii="Times New Roman" w:hAnsi="Times New Roman" w:cs="Times New Roman"/>
        </w:rPr>
        <w:t>internim</w:t>
      </w:r>
      <w:r w:rsidRPr="00FA7F54">
        <w:rPr>
          <w:rFonts w:ascii="Times New Roman" w:hAnsi="Times New Roman" w:cs="Times New Roman"/>
        </w:rPr>
        <w:t xml:space="preserve"> revizija</w:t>
      </w:r>
      <w:r w:rsidR="00245A6A" w:rsidRPr="00FA7F54">
        <w:rPr>
          <w:rFonts w:ascii="Times New Roman" w:hAnsi="Times New Roman" w:cs="Times New Roman"/>
        </w:rPr>
        <w:t>ma</w:t>
      </w:r>
      <w:r w:rsidRPr="00FA7F54">
        <w:rPr>
          <w:rFonts w:ascii="Times New Roman" w:hAnsi="Times New Roman" w:cs="Times New Roman"/>
        </w:rPr>
        <w:t xml:space="preserve"> </w:t>
      </w:r>
      <w:r w:rsidR="00245A6A" w:rsidRPr="00FA7F54">
        <w:rPr>
          <w:rFonts w:ascii="Times New Roman" w:hAnsi="Times New Roman" w:cs="Times New Roman"/>
        </w:rPr>
        <w:t>uočene su nepravilnosti kod pojedinih proračunskih korisnika iz čega proizlaze preporuke za donošenjem pravila za korištenje službenih vozila radi smanjenja neopravdanog korištenja službenih vozila i troškova za nabavu goriva za službena vozila. Navedenim bi se pravilima utvrdila ujednačenost postupanja te na najmanju mjeru svela mogućnost korištenja službenih vozila za službena putovanja koja za korisnika ne predstavljaju potrebu i korist.</w:t>
      </w:r>
    </w:p>
    <w:p w:rsidR="00B90D1F" w:rsidRDefault="00B90D1F" w:rsidP="00103582">
      <w:pPr>
        <w:spacing w:after="0" w:line="240" w:lineRule="auto"/>
        <w:jc w:val="both"/>
        <w:rPr>
          <w:rFonts w:ascii="Times New Roman" w:hAnsi="Times New Roman" w:cs="Times New Roman"/>
        </w:rPr>
      </w:pPr>
      <w:r w:rsidRPr="00851C8B">
        <w:rPr>
          <w:rFonts w:ascii="Times New Roman" w:hAnsi="Times New Roman" w:cs="Times New Roman"/>
        </w:rPr>
        <w:t xml:space="preserve">Podaci iz dubinske analize o prijeđenim kilometrima pokazuju da u većini pravnih osoba vozila pretežno služe za osobne potrebe osoba koje imaju pravo na njihovo korištenje. Naime, prosječan broj prijeđenih kilometara kreće se u pravilu do 20.000 km godišnje po vozilu, pa je gotovo očito da službena vozila služe zaposlenima na rukovodećim mjestima. Samo 10 posto pravnih osoba službenim vozilom prijeđe u prosjeku preko 31.000 kilometara godišnje. Procedurom bi se trebalo definirati maksimalnu cijenu za nabavku službenih vozila, </w:t>
      </w:r>
      <w:proofErr w:type="spellStart"/>
      <w:r w:rsidRPr="00851C8B">
        <w:rPr>
          <w:rFonts w:ascii="Times New Roman" w:hAnsi="Times New Roman" w:cs="Times New Roman"/>
        </w:rPr>
        <w:t>zanavljanje</w:t>
      </w:r>
      <w:proofErr w:type="spellEnd"/>
      <w:r w:rsidRPr="00851C8B">
        <w:rPr>
          <w:rFonts w:ascii="Times New Roman" w:hAnsi="Times New Roman" w:cs="Times New Roman"/>
        </w:rPr>
        <w:t xml:space="preserve"> službenih vozila, pravo na korištenje službenih vozila samo za službene potrebe, za korištenje službenog vozila 24 sata na dan evidentirati plaće u naravi i drugo.</w:t>
      </w:r>
    </w:p>
    <w:p w:rsidR="00EB5F7B" w:rsidRPr="00EB5F7B" w:rsidRDefault="004B7F21" w:rsidP="00EB5F7B">
      <w:pPr>
        <w:spacing w:line="240" w:lineRule="auto"/>
        <w:jc w:val="both"/>
        <w:rPr>
          <w:rFonts w:ascii="Times New Roman" w:hAnsi="Times New Roman" w:cs="Times New Roman"/>
        </w:rPr>
      </w:pPr>
      <w:r>
        <w:rPr>
          <w:rFonts w:ascii="Times New Roman" w:hAnsi="Times New Roman" w:cs="Times New Roman"/>
        </w:rPr>
        <w:t>Za v</w:t>
      </w:r>
      <w:r w:rsidR="00EB5F7B" w:rsidRPr="00EB5F7B">
        <w:rPr>
          <w:rFonts w:ascii="Times New Roman" w:hAnsi="Times New Roman" w:cs="Times New Roman"/>
        </w:rPr>
        <w:t>ozila koja se nabavljaju za potrebe obavljanja službenih poslova (inspekcije, nadzori) potrebno je propisati</w:t>
      </w:r>
      <w:r>
        <w:rPr>
          <w:rFonts w:ascii="Times New Roman" w:hAnsi="Times New Roman" w:cs="Times New Roman"/>
        </w:rPr>
        <w:t xml:space="preserve"> </w:t>
      </w:r>
      <w:r w:rsidR="008477BF">
        <w:rPr>
          <w:rFonts w:ascii="Times New Roman" w:hAnsi="Times New Roman" w:cs="Times New Roman"/>
        </w:rPr>
        <w:t>specifične uvjete nabave</w:t>
      </w:r>
      <w:r w:rsidR="00EB5F7B" w:rsidRPr="00EB5F7B">
        <w:rPr>
          <w:rFonts w:ascii="Times New Roman" w:hAnsi="Times New Roman" w:cs="Times New Roman"/>
        </w:rPr>
        <w:t xml:space="preserve"> s obzirom na način obavljanja službenog posla, pogotovo ako se radi o osobnim automobilima, uvažavajući različite načine obavljanja poslova kao npr. izlazak jednog ili više službenika zajedno, potreba za većim prtljažnim prostorom (osobna prtljaga službenika ako se službeno korištenje odvija kroz više dana, specijalna oprema). </w:t>
      </w:r>
      <w:r w:rsidR="008477BF">
        <w:rPr>
          <w:rFonts w:ascii="Times New Roman" w:hAnsi="Times New Roman" w:cs="Times New Roman"/>
        </w:rPr>
        <w:t>Trenutno</w:t>
      </w:r>
      <w:r w:rsidR="00EB5F7B" w:rsidRPr="00EB5F7B">
        <w:rPr>
          <w:rFonts w:ascii="Times New Roman" w:hAnsi="Times New Roman" w:cs="Times New Roman"/>
        </w:rPr>
        <w:t xml:space="preserve"> neka tijela nabavljaju mala vozila za inspekcije, dok druga, ako imaju sredstva, za potrebe inspekcije nabavljaju veća vozila, iz čega proizlazi da područje također nije uređeno. </w:t>
      </w:r>
    </w:p>
    <w:p w:rsidR="00EB5F7B" w:rsidRDefault="00EB5F7B" w:rsidP="00AF72A0">
      <w:pPr>
        <w:spacing w:line="240" w:lineRule="auto"/>
        <w:jc w:val="both"/>
        <w:rPr>
          <w:rFonts w:ascii="Times New Roman" w:hAnsi="Times New Roman" w:cs="Times New Roman"/>
        </w:rPr>
      </w:pPr>
      <w:r w:rsidRPr="00EB5F7B">
        <w:rPr>
          <w:rFonts w:ascii="Times New Roman" w:hAnsi="Times New Roman" w:cs="Times New Roman"/>
        </w:rPr>
        <w:t>Vezano za nabavu (kupovina) vozila uz korištenje metodologije troškova životnog ciklusa, potreb</w:t>
      </w:r>
      <w:r w:rsidR="004E26F1">
        <w:rPr>
          <w:rFonts w:ascii="Times New Roman" w:hAnsi="Times New Roman" w:cs="Times New Roman"/>
        </w:rPr>
        <w:t>n</w:t>
      </w:r>
      <w:r w:rsidRPr="00EB5F7B">
        <w:rPr>
          <w:rFonts w:ascii="Times New Roman" w:hAnsi="Times New Roman" w:cs="Times New Roman"/>
        </w:rPr>
        <w:t xml:space="preserve">o je preispitati važenje zabrane nabave automobila osim kroz operativni </w:t>
      </w:r>
      <w:proofErr w:type="spellStart"/>
      <w:r w:rsidRPr="00EB5F7B">
        <w:rPr>
          <w:rFonts w:ascii="Times New Roman" w:hAnsi="Times New Roman" w:cs="Times New Roman"/>
        </w:rPr>
        <w:t>leasing</w:t>
      </w:r>
      <w:proofErr w:type="spellEnd"/>
      <w:r w:rsidRPr="00EB5F7B">
        <w:rPr>
          <w:rFonts w:ascii="Times New Roman" w:hAnsi="Times New Roman" w:cs="Times New Roman"/>
        </w:rPr>
        <w:t>. U određenim slučajevima isplativa je kupovina automobila i/ili gospodarsko vozila</w:t>
      </w:r>
      <w:r w:rsidR="00970B8B">
        <w:rPr>
          <w:rFonts w:ascii="Times New Roman" w:hAnsi="Times New Roman" w:cs="Times New Roman"/>
        </w:rPr>
        <w:t xml:space="preserve"> u vlasništvo, osobito</w:t>
      </w:r>
      <w:r w:rsidRPr="00EB5F7B">
        <w:rPr>
          <w:rFonts w:ascii="Times New Roman" w:hAnsi="Times New Roman" w:cs="Times New Roman"/>
        </w:rPr>
        <w:t xml:space="preserve"> kada je potreb</w:t>
      </w:r>
      <w:r w:rsidR="00970B8B">
        <w:rPr>
          <w:rFonts w:ascii="Times New Roman" w:hAnsi="Times New Roman" w:cs="Times New Roman"/>
        </w:rPr>
        <w:t>na preinaka,</w:t>
      </w:r>
      <w:r w:rsidRPr="00EB5F7B">
        <w:rPr>
          <w:rFonts w:ascii="Times New Roman" w:hAnsi="Times New Roman" w:cs="Times New Roman"/>
        </w:rPr>
        <w:t xml:space="preserve"> dok je za neke korisnike optimalna opcija operativni </w:t>
      </w:r>
      <w:proofErr w:type="spellStart"/>
      <w:r w:rsidRPr="00EB5F7B">
        <w:rPr>
          <w:rFonts w:ascii="Times New Roman" w:hAnsi="Times New Roman" w:cs="Times New Roman"/>
        </w:rPr>
        <w:t>leasing</w:t>
      </w:r>
      <w:proofErr w:type="spellEnd"/>
      <w:r w:rsidRPr="00EB5F7B">
        <w:rPr>
          <w:rFonts w:ascii="Times New Roman" w:hAnsi="Times New Roman" w:cs="Times New Roman"/>
        </w:rPr>
        <w:t>.</w:t>
      </w:r>
    </w:p>
    <w:p w:rsidR="008A1F6A" w:rsidRPr="00FA7F54" w:rsidRDefault="008A1F6A" w:rsidP="008A1F6A">
      <w:pPr>
        <w:spacing w:after="0" w:line="240" w:lineRule="auto"/>
        <w:jc w:val="both"/>
        <w:rPr>
          <w:rFonts w:ascii="Times New Roman" w:hAnsi="Times New Roman" w:cs="Times New Roman"/>
        </w:rPr>
      </w:pPr>
      <w:r w:rsidRPr="0006620E">
        <w:rPr>
          <w:rFonts w:ascii="Times New Roman" w:hAnsi="Times New Roman" w:cs="Times New Roman"/>
        </w:rPr>
        <w:t xml:space="preserve">Za potrebe izračuna moguće uštede za troškove nabavke službenih vozila – osobnih automobila </w:t>
      </w:r>
      <w:r>
        <w:rPr>
          <w:rFonts w:ascii="Times New Roman" w:hAnsi="Times New Roman" w:cs="Times New Roman"/>
        </w:rPr>
        <w:t xml:space="preserve">u dubinskoj analizi </w:t>
      </w:r>
      <w:r w:rsidRPr="0006620E">
        <w:rPr>
          <w:rFonts w:ascii="Times New Roman" w:hAnsi="Times New Roman" w:cs="Times New Roman"/>
        </w:rPr>
        <w:t>uzeta je nabavna vrijednost od 170.000 kuna po vozilu, što se smatra primjerenom cijenom za nabavku ekonomske klase</w:t>
      </w:r>
      <w:r>
        <w:rPr>
          <w:rFonts w:ascii="Times New Roman" w:hAnsi="Times New Roman" w:cs="Times New Roman"/>
        </w:rPr>
        <w:t xml:space="preserve"> osobnog</w:t>
      </w:r>
      <w:r w:rsidRPr="0006620E">
        <w:rPr>
          <w:rFonts w:ascii="Times New Roman" w:hAnsi="Times New Roman" w:cs="Times New Roman"/>
        </w:rPr>
        <w:t xml:space="preserve"> vozila. </w:t>
      </w:r>
    </w:p>
    <w:p w:rsidR="005B0AAE" w:rsidRDefault="005B0AAE" w:rsidP="004F1827">
      <w:pPr>
        <w:pStyle w:val="Odlomakpopisa"/>
        <w:numPr>
          <w:ilvl w:val="0"/>
          <w:numId w:val="8"/>
        </w:numPr>
        <w:spacing w:line="240" w:lineRule="auto"/>
        <w:ind w:left="0" w:firstLine="426"/>
        <w:jc w:val="both"/>
        <w:rPr>
          <w:rFonts w:ascii="Times New Roman" w:hAnsi="Times New Roman" w:cs="Times New Roman"/>
        </w:rPr>
      </w:pPr>
      <w:r w:rsidRPr="005B0AAE">
        <w:rPr>
          <w:rFonts w:ascii="Times New Roman" w:hAnsi="Times New Roman" w:cs="Times New Roman"/>
        </w:rPr>
        <w:t>Centralizirati podatke o vozilima</w:t>
      </w:r>
      <w:r w:rsidR="00AF72A0">
        <w:rPr>
          <w:rFonts w:ascii="Times New Roman" w:hAnsi="Times New Roman" w:cs="Times New Roman"/>
        </w:rPr>
        <w:t xml:space="preserve"> korisnika</w:t>
      </w:r>
      <w:r w:rsidRPr="005B0AAE">
        <w:rPr>
          <w:rFonts w:ascii="Times New Roman" w:hAnsi="Times New Roman" w:cs="Times New Roman"/>
        </w:rPr>
        <w:t xml:space="preserve"> kroz aplikativno rješenje radi poboljšanja </w:t>
      </w:r>
      <w:r>
        <w:rPr>
          <w:rFonts w:ascii="Times New Roman" w:hAnsi="Times New Roman" w:cs="Times New Roman"/>
        </w:rPr>
        <w:t xml:space="preserve">kvalitete evidencije </w:t>
      </w:r>
      <w:r w:rsidRPr="005B0AAE">
        <w:rPr>
          <w:rFonts w:ascii="Times New Roman" w:hAnsi="Times New Roman" w:cs="Times New Roman"/>
        </w:rPr>
        <w:t xml:space="preserve">podataka o vozilima koja su predmet postupka javne nabave. </w:t>
      </w:r>
      <w:r>
        <w:rPr>
          <w:rFonts w:ascii="Times New Roman" w:hAnsi="Times New Roman" w:cs="Times New Roman"/>
        </w:rPr>
        <w:t xml:space="preserve">Navedeno bi rješenje omogućilo pretraživanje podataka u svrhu poboljšanja upravljanja troškovima vezanim uz korištenje službenih vozila. </w:t>
      </w:r>
    </w:p>
    <w:p w:rsidR="00565DC3" w:rsidRPr="005B0AAE" w:rsidRDefault="00565DC3" w:rsidP="00EE42A3">
      <w:pPr>
        <w:pStyle w:val="Odlomakpopisa"/>
        <w:numPr>
          <w:ilvl w:val="0"/>
          <w:numId w:val="8"/>
        </w:numPr>
        <w:spacing w:line="240" w:lineRule="auto"/>
        <w:ind w:left="0" w:firstLine="426"/>
        <w:jc w:val="both"/>
        <w:rPr>
          <w:rFonts w:ascii="Times New Roman" w:hAnsi="Times New Roman" w:cs="Times New Roman"/>
        </w:rPr>
      </w:pPr>
      <w:r w:rsidRPr="00565DC3">
        <w:rPr>
          <w:rFonts w:ascii="Times New Roman" w:hAnsi="Times New Roman" w:cs="Times New Roman"/>
        </w:rPr>
        <w:t>Revidirati Odluku o uvjetima korištenja službenih osobnih automobila, mobilnih telefona, redovnih zrakoplovnih linija, poslovnih kreditnih kartica, sredstava reprezentacije, te načinu odobravanja službenih putovanja</w:t>
      </w:r>
      <w:r w:rsidR="00A63FE0">
        <w:rPr>
          <w:rFonts w:ascii="Times New Roman" w:hAnsi="Times New Roman" w:cs="Times New Roman"/>
        </w:rPr>
        <w:t>. Primjerice, odredba</w:t>
      </w:r>
      <w:r w:rsidRPr="00565DC3">
        <w:rPr>
          <w:rFonts w:ascii="Times New Roman" w:hAnsi="Times New Roman" w:cs="Times New Roman"/>
        </w:rPr>
        <w:t xml:space="preserve"> ''klasa vozila'' i posljedična podjela po toj osnovi nije propisana u RH.</w:t>
      </w:r>
    </w:p>
    <w:p w:rsidR="00155977" w:rsidRPr="000277F0" w:rsidRDefault="00346349" w:rsidP="000277F0">
      <w:pPr>
        <w:pStyle w:val="Odlomakpopisa"/>
        <w:numPr>
          <w:ilvl w:val="0"/>
          <w:numId w:val="8"/>
        </w:numPr>
        <w:spacing w:line="240" w:lineRule="auto"/>
        <w:ind w:left="0" w:firstLine="360"/>
        <w:jc w:val="both"/>
        <w:rPr>
          <w:rFonts w:ascii="Times New Roman" w:hAnsi="Times New Roman" w:cs="Times New Roman"/>
        </w:rPr>
      </w:pPr>
      <w:r w:rsidRPr="00DE2A3F">
        <w:rPr>
          <w:rFonts w:ascii="Times New Roman" w:hAnsi="Times New Roman" w:cs="Times New Roman"/>
        </w:rPr>
        <w:t xml:space="preserve">Procjena </w:t>
      </w:r>
      <w:r w:rsidRPr="00DE2A3F">
        <w:rPr>
          <w:rFonts w:ascii="Times New Roman" w:eastAsia="Times New Roman" w:hAnsi="Times New Roman"/>
          <w:lang w:eastAsia="hr-HR"/>
        </w:rPr>
        <w:t>učinkovitog i djelotvornog funkcioniranja sustava financijskog upravljanja i kontrola</w:t>
      </w:r>
      <w:r w:rsidR="00A47536" w:rsidRPr="00DE2A3F">
        <w:rPr>
          <w:rFonts w:ascii="Times New Roman" w:hAnsi="Times New Roman" w:cs="Times New Roman"/>
        </w:rPr>
        <w:t>:</w:t>
      </w:r>
      <w:r w:rsidRPr="00DE2A3F">
        <w:rPr>
          <w:rFonts w:ascii="Times New Roman" w:hAnsi="Times New Roman" w:cs="Times New Roman"/>
        </w:rPr>
        <w:t xml:space="preserve"> i</w:t>
      </w:r>
      <w:r w:rsidR="00E42473" w:rsidRPr="00DE2A3F">
        <w:rPr>
          <w:rFonts w:ascii="Times New Roman" w:hAnsi="Times New Roman" w:cs="Times New Roman"/>
        </w:rPr>
        <w:t xml:space="preserve">zračun </w:t>
      </w:r>
      <w:r w:rsidR="00D73668" w:rsidRPr="00DE2A3F">
        <w:rPr>
          <w:rFonts w:ascii="Times New Roman" w:hAnsi="Times New Roman" w:cs="Times New Roman"/>
        </w:rPr>
        <w:t>prosječnih troškova za energiju</w:t>
      </w:r>
      <w:r w:rsidR="0084035D">
        <w:rPr>
          <w:rFonts w:ascii="Times New Roman" w:hAnsi="Times New Roman" w:cs="Times New Roman"/>
        </w:rPr>
        <w:t xml:space="preserve"> (bez goriva)</w:t>
      </w:r>
      <w:r w:rsidR="00E42473" w:rsidRPr="00DE2A3F">
        <w:rPr>
          <w:rFonts w:ascii="Times New Roman" w:hAnsi="Times New Roman" w:cs="Times New Roman"/>
        </w:rPr>
        <w:t xml:space="preserve"> </w:t>
      </w:r>
      <w:r w:rsidR="00E86D5E">
        <w:rPr>
          <w:rFonts w:ascii="Times New Roman" w:hAnsi="Times New Roman" w:cs="Times New Roman"/>
        </w:rPr>
        <w:t>mjesečno</w:t>
      </w:r>
      <w:r w:rsidR="000277F0">
        <w:rPr>
          <w:rFonts w:ascii="Times New Roman" w:hAnsi="Times New Roman" w:cs="Times New Roman"/>
        </w:rPr>
        <w:t xml:space="preserve"> </w:t>
      </w:r>
      <w:r w:rsidR="000277F0" w:rsidRPr="00DE2A3F">
        <w:rPr>
          <w:rFonts w:ascii="Times New Roman" w:hAnsi="Times New Roman" w:cs="Times New Roman"/>
        </w:rPr>
        <w:t>po</w:t>
      </w:r>
      <w:r w:rsidR="000277F0">
        <w:rPr>
          <w:rFonts w:ascii="Times New Roman" w:hAnsi="Times New Roman" w:cs="Times New Roman"/>
        </w:rPr>
        <w:t xml:space="preserve"> zaposleniku</w:t>
      </w:r>
      <w:r w:rsidR="00E86D5E">
        <w:rPr>
          <w:rFonts w:ascii="Times New Roman" w:hAnsi="Times New Roman" w:cs="Times New Roman"/>
        </w:rPr>
        <w:t xml:space="preserve"> i po</w:t>
      </w:r>
      <w:r w:rsidR="00E42473" w:rsidRPr="00DE2A3F">
        <w:rPr>
          <w:rFonts w:ascii="Times New Roman" w:hAnsi="Times New Roman" w:cs="Times New Roman"/>
        </w:rPr>
        <w:t xml:space="preserve"> </w:t>
      </w:r>
      <w:r w:rsidR="008A57D0" w:rsidRPr="00DE2A3F">
        <w:rPr>
          <w:rFonts w:ascii="Times New Roman" w:hAnsi="Times New Roman" w:cs="Times New Roman"/>
        </w:rPr>
        <w:t>kvadratnom metru</w:t>
      </w:r>
      <w:r w:rsidR="007B47CD" w:rsidRPr="00DE2A3F">
        <w:rPr>
          <w:rFonts w:ascii="Times New Roman" w:hAnsi="Times New Roman" w:cs="Times New Roman"/>
        </w:rPr>
        <w:t>.</w:t>
      </w:r>
    </w:p>
    <w:p w:rsidR="00E86D5E" w:rsidRPr="004E26F1" w:rsidRDefault="00FF40FB" w:rsidP="006B7B79">
      <w:pPr>
        <w:pStyle w:val="Opisslike"/>
        <w:spacing w:after="0"/>
        <w:jc w:val="both"/>
        <w:rPr>
          <w:rFonts w:ascii="Times New Roman" w:hAnsi="Times New Roman" w:cs="Times New Roman"/>
          <w:sz w:val="20"/>
          <w:szCs w:val="20"/>
        </w:rPr>
      </w:pPr>
      <w:bookmarkStart w:id="51" w:name="_Toc436402271"/>
      <w:r w:rsidRPr="006B7B79">
        <w:rPr>
          <w:rFonts w:ascii="Times New Roman" w:hAnsi="Times New Roman" w:cs="Times New Roman"/>
          <w:sz w:val="20"/>
          <w:szCs w:val="20"/>
        </w:rPr>
        <w:lastRenderedPageBreak/>
        <w:t>Tabela</w:t>
      </w:r>
      <w:r w:rsidR="00A57D2A" w:rsidRPr="006B7B79">
        <w:rPr>
          <w:rFonts w:ascii="Times New Roman" w:hAnsi="Times New Roman" w:cs="Times New Roman"/>
        </w:rPr>
        <w:t xml:space="preserve"> </w:t>
      </w:r>
      <w:r w:rsidR="00074A4A" w:rsidRPr="006B7B79">
        <w:rPr>
          <w:rFonts w:ascii="Times New Roman" w:hAnsi="Times New Roman" w:cs="Times New Roman"/>
        </w:rPr>
        <w:fldChar w:fldCharType="begin"/>
      </w:r>
      <w:r w:rsidR="00074A4A" w:rsidRPr="006B7B79">
        <w:rPr>
          <w:rFonts w:ascii="Times New Roman" w:hAnsi="Times New Roman" w:cs="Times New Roman"/>
        </w:rPr>
        <w:instrText xml:space="preserve"> SEQ Tabela \* ARABIC </w:instrText>
      </w:r>
      <w:r w:rsidR="00074A4A" w:rsidRPr="006B7B79">
        <w:rPr>
          <w:rFonts w:ascii="Times New Roman" w:hAnsi="Times New Roman" w:cs="Times New Roman"/>
        </w:rPr>
        <w:fldChar w:fldCharType="separate"/>
      </w:r>
      <w:r w:rsidR="00F50808">
        <w:rPr>
          <w:rFonts w:ascii="Times New Roman" w:hAnsi="Times New Roman" w:cs="Times New Roman"/>
          <w:noProof/>
        </w:rPr>
        <w:t>24</w:t>
      </w:r>
      <w:r w:rsidR="00074A4A" w:rsidRPr="006B7B79">
        <w:rPr>
          <w:rFonts w:ascii="Times New Roman" w:hAnsi="Times New Roman" w:cs="Times New Roman"/>
          <w:noProof/>
        </w:rPr>
        <w:fldChar w:fldCharType="end"/>
      </w:r>
      <w:r w:rsidRPr="006B7B79">
        <w:rPr>
          <w:rFonts w:ascii="Times New Roman" w:hAnsi="Times New Roman" w:cs="Times New Roman"/>
          <w:sz w:val="20"/>
          <w:szCs w:val="20"/>
        </w:rPr>
        <w:t xml:space="preserve">: </w:t>
      </w:r>
      <w:r w:rsidR="00E700CE" w:rsidRPr="006B7B79">
        <w:rPr>
          <w:rFonts w:ascii="Times New Roman" w:hAnsi="Times New Roman" w:cs="Times New Roman"/>
          <w:sz w:val="20"/>
          <w:szCs w:val="20"/>
        </w:rPr>
        <w:t>Službena vozila</w:t>
      </w:r>
      <w:r w:rsidRPr="006B7B79">
        <w:rPr>
          <w:rFonts w:ascii="Times New Roman" w:hAnsi="Times New Roman" w:cs="Times New Roman"/>
          <w:sz w:val="20"/>
          <w:szCs w:val="20"/>
        </w:rPr>
        <w:t xml:space="preserve"> prema podacima koje su korisnici dostavili u Upitniku </w:t>
      </w:r>
      <w:r w:rsidR="00FC6A5F" w:rsidRPr="006B7B79">
        <w:rPr>
          <w:rFonts w:ascii="Times New Roman" w:hAnsi="Times New Roman" w:cs="Times New Roman"/>
          <w:sz w:val="20"/>
          <w:szCs w:val="20"/>
        </w:rPr>
        <w:t>za</w:t>
      </w:r>
      <w:r w:rsidR="00E700CE" w:rsidRPr="006B7B79">
        <w:rPr>
          <w:rFonts w:ascii="Times New Roman" w:hAnsi="Times New Roman" w:cs="Times New Roman"/>
          <w:sz w:val="20"/>
          <w:szCs w:val="20"/>
        </w:rPr>
        <w:t xml:space="preserve"> reformske mjere</w:t>
      </w:r>
      <w:bookmarkEnd w:id="51"/>
    </w:p>
    <w:p w:rsidR="00E86D5E" w:rsidRDefault="00ED1863" w:rsidP="00E86D5E">
      <w:pPr>
        <w:spacing w:after="0" w:line="240" w:lineRule="auto"/>
        <w:jc w:val="both"/>
        <w:rPr>
          <w:rFonts w:ascii="Times New Roman" w:hAnsi="Times New Roman" w:cs="Times New Roman"/>
        </w:rPr>
      </w:pPr>
      <w:r w:rsidRPr="00ED1863">
        <w:rPr>
          <w:noProof/>
          <w:lang w:eastAsia="hr-HR"/>
        </w:rPr>
        <w:drawing>
          <wp:inline distT="0" distB="0" distL="0" distR="0" wp14:anchorId="0E33A84E" wp14:editId="6ECC62AB">
            <wp:extent cx="5760720" cy="3099900"/>
            <wp:effectExtent l="0" t="0" r="0" b="571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099900"/>
                    </a:xfrm>
                    <a:prstGeom prst="rect">
                      <a:avLst/>
                    </a:prstGeom>
                    <a:noFill/>
                    <a:ln>
                      <a:noFill/>
                    </a:ln>
                  </pic:spPr>
                </pic:pic>
              </a:graphicData>
            </a:graphic>
          </wp:inline>
        </w:drawing>
      </w:r>
    </w:p>
    <w:p w:rsidR="004514D6" w:rsidRPr="004514D6" w:rsidRDefault="004514D6" w:rsidP="00E86D5E">
      <w:pPr>
        <w:spacing w:after="0" w:line="240" w:lineRule="auto"/>
        <w:jc w:val="both"/>
        <w:rPr>
          <w:rFonts w:ascii="Times New Roman" w:hAnsi="Times New Roman" w:cs="Times New Roman"/>
          <w:sz w:val="20"/>
          <w:szCs w:val="20"/>
        </w:rPr>
      </w:pPr>
      <w:r w:rsidRPr="004514D6">
        <w:rPr>
          <w:rFonts w:ascii="Times New Roman" w:hAnsi="Times New Roman" w:cs="Times New Roman"/>
          <w:sz w:val="20"/>
          <w:szCs w:val="20"/>
        </w:rPr>
        <w:t>*Rashodi</w:t>
      </w:r>
      <w:r w:rsidR="0073308C">
        <w:rPr>
          <w:rFonts w:ascii="Times New Roman" w:hAnsi="Times New Roman" w:cs="Times New Roman"/>
          <w:sz w:val="20"/>
          <w:szCs w:val="20"/>
        </w:rPr>
        <w:t xml:space="preserve"> za održavanje</w:t>
      </w:r>
      <w:r w:rsidRPr="004514D6">
        <w:rPr>
          <w:rFonts w:ascii="Times New Roman" w:hAnsi="Times New Roman" w:cs="Times New Roman"/>
          <w:sz w:val="20"/>
          <w:szCs w:val="20"/>
        </w:rPr>
        <w:t xml:space="preserve"> uklj</w:t>
      </w:r>
      <w:r w:rsidR="001679A6">
        <w:rPr>
          <w:rFonts w:ascii="Times New Roman" w:hAnsi="Times New Roman" w:cs="Times New Roman"/>
          <w:sz w:val="20"/>
          <w:szCs w:val="20"/>
        </w:rPr>
        <w:t>učuju materijal i dijelove za</w:t>
      </w:r>
      <w:r w:rsidRPr="004514D6">
        <w:rPr>
          <w:rFonts w:ascii="Times New Roman" w:hAnsi="Times New Roman" w:cs="Times New Roman"/>
          <w:sz w:val="20"/>
          <w:szCs w:val="20"/>
        </w:rPr>
        <w:t xml:space="preserve"> tekuće i investicijsko održavanje transportnih sredstava, auto gume,</w:t>
      </w:r>
      <w:r w:rsidRPr="004514D6">
        <w:t xml:space="preserve"> </w:t>
      </w:r>
      <w:r w:rsidRPr="004514D6">
        <w:rPr>
          <w:rFonts w:ascii="Times New Roman" w:hAnsi="Times New Roman" w:cs="Times New Roman"/>
          <w:sz w:val="20"/>
          <w:szCs w:val="20"/>
        </w:rPr>
        <w:t>usluge tekućeg i investicijskog održavanja prijevoznih sredstava, usluge pri registraciji prijevoznih sredstava i</w:t>
      </w:r>
      <w:r>
        <w:rPr>
          <w:rFonts w:ascii="Times New Roman" w:hAnsi="Times New Roman" w:cs="Times New Roman"/>
          <w:sz w:val="20"/>
          <w:szCs w:val="20"/>
        </w:rPr>
        <w:t xml:space="preserve"> </w:t>
      </w:r>
      <w:r w:rsidRPr="004514D6">
        <w:rPr>
          <w:rFonts w:ascii="Times New Roman" w:hAnsi="Times New Roman" w:cs="Times New Roman"/>
          <w:sz w:val="20"/>
          <w:szCs w:val="20"/>
        </w:rPr>
        <w:t>premije osiguranja prijevoznih sredstava</w:t>
      </w:r>
    </w:p>
    <w:p w:rsidR="00851C8B" w:rsidRPr="00851C8B" w:rsidRDefault="00851C8B" w:rsidP="00851C8B">
      <w:pPr>
        <w:spacing w:line="240" w:lineRule="auto"/>
        <w:ind w:left="360"/>
        <w:rPr>
          <w:rFonts w:ascii="Times New Roman" w:hAnsi="Times New Roman" w:cs="Times New Roman"/>
        </w:rPr>
      </w:pPr>
    </w:p>
    <w:p w:rsidR="00500A8F" w:rsidRPr="00FA7F54" w:rsidRDefault="00500A8F" w:rsidP="00500A8F">
      <w:pPr>
        <w:pStyle w:val="Naslov2"/>
        <w:rPr>
          <w:rFonts w:ascii="Times New Roman" w:hAnsi="Times New Roman" w:cs="Times New Roman"/>
          <w:color w:val="auto"/>
          <w:sz w:val="22"/>
          <w:szCs w:val="22"/>
        </w:rPr>
      </w:pPr>
      <w:bookmarkStart w:id="52" w:name="_Toc434411183"/>
      <w:bookmarkStart w:id="53" w:name="_Toc436402326"/>
      <w:r w:rsidRPr="00FA7F54">
        <w:rPr>
          <w:rFonts w:ascii="Times New Roman" w:hAnsi="Times New Roman" w:cs="Times New Roman"/>
          <w:color w:val="auto"/>
          <w:sz w:val="22"/>
          <w:szCs w:val="22"/>
        </w:rPr>
        <w:t>MATERIJAL I DIJELOVI ZA TEKUĆE I INVESTICIJSKO ODRŽAVANJE (3224)</w:t>
      </w:r>
      <w:bookmarkEnd w:id="52"/>
      <w:bookmarkEnd w:id="53"/>
    </w:p>
    <w:p w:rsidR="005352AB" w:rsidRPr="00FA7F54" w:rsidRDefault="005352AB" w:rsidP="005352AB">
      <w:pPr>
        <w:spacing w:line="240" w:lineRule="auto"/>
        <w:jc w:val="both"/>
        <w:rPr>
          <w:rFonts w:ascii="Times New Roman" w:hAnsi="Times New Roman" w:cs="Times New Roman"/>
        </w:rPr>
      </w:pPr>
      <w:r w:rsidRPr="00FA7F54">
        <w:rPr>
          <w:rFonts w:ascii="Times New Roman" w:hAnsi="Times New Roman" w:cs="Times New Roman"/>
        </w:rPr>
        <w:t>Prema iskazanim podacima u finan</w:t>
      </w:r>
      <w:r w:rsidR="00F42142" w:rsidRPr="00FA7F54">
        <w:rPr>
          <w:rFonts w:ascii="Times New Roman" w:hAnsi="Times New Roman" w:cs="Times New Roman"/>
        </w:rPr>
        <w:t xml:space="preserve">cijskim izvještajima rashodi </w:t>
      </w:r>
      <w:r w:rsidR="0064264A" w:rsidRPr="00FA7F54">
        <w:rPr>
          <w:rFonts w:ascii="Times New Roman" w:hAnsi="Times New Roman" w:cs="Times New Roman"/>
        </w:rPr>
        <w:t>za</w:t>
      </w:r>
      <w:r w:rsidR="00F42142" w:rsidRPr="00FA7F54">
        <w:rPr>
          <w:rFonts w:ascii="Times New Roman" w:hAnsi="Times New Roman" w:cs="Times New Roman"/>
        </w:rPr>
        <w:t xml:space="preserve"> materijal i dijelove za</w:t>
      </w:r>
      <w:r w:rsidR="0064264A" w:rsidRPr="00FA7F54">
        <w:rPr>
          <w:rFonts w:ascii="Times New Roman" w:hAnsi="Times New Roman" w:cs="Times New Roman"/>
        </w:rPr>
        <w:t xml:space="preserve"> tekuće i investicijsko održavanje</w:t>
      </w:r>
      <w:r w:rsidRPr="00FA7F54">
        <w:rPr>
          <w:rFonts w:ascii="Times New Roman" w:hAnsi="Times New Roman" w:cs="Times New Roman"/>
        </w:rPr>
        <w:t xml:space="preserve"> u 2013. godini iznosili su </w:t>
      </w:r>
      <w:r w:rsidR="00332CA2" w:rsidRPr="00FA7F54">
        <w:rPr>
          <w:rFonts w:ascii="Times New Roman" w:hAnsi="Times New Roman" w:cs="Times New Roman"/>
        </w:rPr>
        <w:t>123,1</w:t>
      </w:r>
      <w:r w:rsidRPr="00FA7F54">
        <w:rPr>
          <w:rFonts w:ascii="Times New Roman" w:hAnsi="Times New Roman" w:cs="Times New Roman"/>
        </w:rPr>
        <w:t xml:space="preserve"> mil</w:t>
      </w:r>
      <w:r w:rsidR="00332CA2" w:rsidRPr="00FA7F54">
        <w:rPr>
          <w:rFonts w:ascii="Times New Roman" w:hAnsi="Times New Roman" w:cs="Times New Roman"/>
        </w:rPr>
        <w:t>. kuna, a u 2014. godini 143,8</w:t>
      </w:r>
      <w:r w:rsidRPr="00FA7F54">
        <w:rPr>
          <w:rFonts w:ascii="Times New Roman" w:hAnsi="Times New Roman" w:cs="Times New Roman"/>
        </w:rPr>
        <w:t xml:space="preserve"> mil. kuna. </w:t>
      </w:r>
      <w:r w:rsidR="00332CA2" w:rsidRPr="00FA7F54">
        <w:rPr>
          <w:rFonts w:ascii="Times New Roman" w:hAnsi="Times New Roman" w:cs="Times New Roman"/>
        </w:rPr>
        <w:t>U državnom proračunu za 2015. godinu planirano je 132,5</w:t>
      </w:r>
      <w:r w:rsidRPr="00FA7F54">
        <w:rPr>
          <w:rFonts w:ascii="Times New Roman" w:hAnsi="Times New Roman" w:cs="Times New Roman"/>
        </w:rPr>
        <w:t xml:space="preserve"> mil. kuna</w:t>
      </w:r>
      <w:r w:rsidR="00332CA2" w:rsidRPr="00FA7F54">
        <w:rPr>
          <w:rFonts w:ascii="Times New Roman" w:hAnsi="Times New Roman" w:cs="Times New Roman"/>
        </w:rPr>
        <w:t xml:space="preserve"> navedenih</w:t>
      </w:r>
      <w:r w:rsidRPr="00FA7F54">
        <w:rPr>
          <w:rFonts w:ascii="Times New Roman" w:hAnsi="Times New Roman" w:cs="Times New Roman"/>
        </w:rPr>
        <w:t xml:space="preserve"> rashoda </w:t>
      </w:r>
      <w:r w:rsidR="00332CA2" w:rsidRPr="00FA7F54">
        <w:rPr>
          <w:rFonts w:ascii="Times New Roman" w:hAnsi="Times New Roman" w:cs="Times New Roman"/>
        </w:rPr>
        <w:t xml:space="preserve">od čega se 100,2 mil. ili </w:t>
      </w:r>
      <w:r w:rsidR="00517CCA" w:rsidRPr="00FA7F54">
        <w:rPr>
          <w:rFonts w:ascii="Times New Roman" w:hAnsi="Times New Roman" w:cs="Times New Roman"/>
        </w:rPr>
        <w:t>7</w:t>
      </w:r>
      <w:r w:rsidR="00517CCA">
        <w:rPr>
          <w:rFonts w:ascii="Times New Roman" w:hAnsi="Times New Roman" w:cs="Times New Roman"/>
        </w:rPr>
        <w:t>0%</w:t>
      </w:r>
      <w:r w:rsidRPr="00FA7F54">
        <w:rPr>
          <w:rFonts w:ascii="Times New Roman" w:hAnsi="Times New Roman" w:cs="Times New Roman"/>
        </w:rPr>
        <w:t xml:space="preserve"> financira iz izvora u limitu.</w:t>
      </w:r>
    </w:p>
    <w:p w:rsidR="00940578" w:rsidRPr="00FA7F54" w:rsidRDefault="00940578" w:rsidP="005352AB">
      <w:pPr>
        <w:spacing w:line="240" w:lineRule="auto"/>
        <w:jc w:val="both"/>
        <w:rPr>
          <w:rFonts w:ascii="Times New Roman" w:hAnsi="Times New Roman" w:cs="Times New Roman"/>
        </w:rPr>
      </w:pPr>
      <w:r w:rsidRPr="00FA7F54">
        <w:rPr>
          <w:rFonts w:ascii="Times New Roman" w:hAnsi="Times New Roman" w:cs="Times New Roman"/>
        </w:rPr>
        <w:t>Najveći dio rashoda odnosi se na tijela izvršne vlasti (MORH i MUP)</w:t>
      </w:r>
      <w:r w:rsidR="009A6EA0" w:rsidRPr="00FA7F54">
        <w:rPr>
          <w:rFonts w:ascii="Times New Roman" w:hAnsi="Times New Roman" w:cs="Times New Roman"/>
        </w:rPr>
        <w:t xml:space="preserve"> koji se u najvećem dijelu financiraju iz izvora u limitu</w:t>
      </w:r>
      <w:r w:rsidRPr="00FA7F54">
        <w:rPr>
          <w:rFonts w:ascii="Times New Roman" w:hAnsi="Times New Roman" w:cs="Times New Roman"/>
        </w:rPr>
        <w:t>.</w:t>
      </w:r>
    </w:p>
    <w:p w:rsidR="009835A2" w:rsidRPr="008B6E47" w:rsidRDefault="009835A2" w:rsidP="006B7B79">
      <w:pPr>
        <w:pStyle w:val="Opisslike"/>
        <w:spacing w:after="0"/>
        <w:jc w:val="both"/>
        <w:rPr>
          <w:rFonts w:ascii="Times New Roman" w:hAnsi="Times New Roman" w:cs="Times New Roman"/>
          <w:sz w:val="20"/>
          <w:szCs w:val="20"/>
        </w:rPr>
      </w:pPr>
      <w:bookmarkStart w:id="54" w:name="_Toc436402272"/>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25</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 xml:space="preserve">: </w:t>
      </w:r>
      <w:r w:rsidR="00194EF2" w:rsidRPr="006B7B79">
        <w:rPr>
          <w:rFonts w:ascii="Times New Roman" w:hAnsi="Times New Roman" w:cs="Times New Roman"/>
          <w:sz w:val="20"/>
          <w:szCs w:val="20"/>
        </w:rPr>
        <w:t xml:space="preserve">Materijal i dijelovi za tekuće i investicijsko održavanje prema podacima iskazanim u financijskim izvještajima proračunskih i izvanproračunskih korisnika za 2013. i 2014. </w:t>
      </w:r>
      <w:r w:rsidR="00D77A91" w:rsidRPr="006B7B79">
        <w:rPr>
          <w:rFonts w:ascii="Times New Roman" w:hAnsi="Times New Roman" w:cs="Times New Roman"/>
          <w:sz w:val="20"/>
          <w:szCs w:val="20"/>
        </w:rPr>
        <w:t>g</w:t>
      </w:r>
      <w:r w:rsidR="00194EF2" w:rsidRPr="006B7B79">
        <w:rPr>
          <w:rFonts w:ascii="Times New Roman" w:hAnsi="Times New Roman" w:cs="Times New Roman"/>
          <w:sz w:val="20"/>
          <w:szCs w:val="20"/>
        </w:rPr>
        <w:t>odinu</w:t>
      </w:r>
      <w:r w:rsidR="00D77A91" w:rsidRPr="006B7B79">
        <w:rPr>
          <w:rFonts w:ascii="Times New Roman" w:hAnsi="Times New Roman" w:cs="Times New Roman"/>
          <w:sz w:val="20"/>
          <w:szCs w:val="20"/>
        </w:rPr>
        <w:t xml:space="preserve"> te planu Državnog proračuna za 2015. godinu</w:t>
      </w:r>
      <w:bookmarkEnd w:id="54"/>
    </w:p>
    <w:p w:rsidR="00500A8F" w:rsidRPr="00FA7F54" w:rsidRDefault="00213FAF" w:rsidP="00517CCA">
      <w:pPr>
        <w:spacing w:line="240" w:lineRule="auto"/>
        <w:jc w:val="center"/>
        <w:rPr>
          <w:rFonts w:ascii="Times New Roman" w:hAnsi="Times New Roman" w:cs="Times New Roman"/>
        </w:rPr>
      </w:pPr>
      <w:r w:rsidRPr="00213FAF">
        <w:rPr>
          <w:noProof/>
          <w:lang w:eastAsia="hr-HR"/>
        </w:rPr>
        <w:drawing>
          <wp:inline distT="0" distB="0" distL="0" distR="0" wp14:anchorId="31F22C03" wp14:editId="328F4C87">
            <wp:extent cx="5010150" cy="3011026"/>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2253" cy="3018300"/>
                    </a:xfrm>
                    <a:prstGeom prst="rect">
                      <a:avLst/>
                    </a:prstGeom>
                    <a:noFill/>
                    <a:ln>
                      <a:noFill/>
                    </a:ln>
                  </pic:spPr>
                </pic:pic>
              </a:graphicData>
            </a:graphic>
          </wp:inline>
        </w:drawing>
      </w:r>
    </w:p>
    <w:p w:rsidR="0014593E" w:rsidRPr="00FA7F54" w:rsidRDefault="00913EF7" w:rsidP="00467EC8">
      <w:pPr>
        <w:spacing w:line="240" w:lineRule="auto"/>
        <w:jc w:val="both"/>
        <w:rPr>
          <w:rFonts w:ascii="Times New Roman" w:hAnsi="Times New Roman" w:cs="Times New Roman"/>
        </w:rPr>
      </w:pPr>
      <w:r w:rsidRPr="00FA7F54">
        <w:rPr>
          <w:rFonts w:ascii="Times New Roman" w:hAnsi="Times New Roman" w:cs="Times New Roman"/>
        </w:rPr>
        <w:lastRenderedPageBreak/>
        <w:t>Najveći dio rashoda za materijal i dijelove za tekuće i investicijsko održavanje</w:t>
      </w:r>
      <w:r w:rsidR="00F04379" w:rsidRPr="00FA7F54">
        <w:rPr>
          <w:rFonts w:ascii="Times New Roman" w:hAnsi="Times New Roman" w:cs="Times New Roman"/>
        </w:rPr>
        <w:t xml:space="preserve"> evidentiranih u državnom proračunu za 2014. godinu</w:t>
      </w:r>
      <w:r w:rsidRPr="00FA7F54">
        <w:rPr>
          <w:rFonts w:ascii="Times New Roman" w:hAnsi="Times New Roman" w:cs="Times New Roman"/>
        </w:rPr>
        <w:t xml:space="preserve"> odnosi se na materijal i dijelove za tekuće i investicijsko </w:t>
      </w:r>
      <w:r w:rsidR="001824F7" w:rsidRPr="00FA7F54">
        <w:rPr>
          <w:rFonts w:ascii="Times New Roman" w:hAnsi="Times New Roman" w:cs="Times New Roman"/>
        </w:rPr>
        <w:t>održavanje postrojenja i opreme</w:t>
      </w:r>
      <w:r w:rsidR="00AD5038" w:rsidRPr="00FA7F54">
        <w:rPr>
          <w:rFonts w:ascii="Times New Roman" w:hAnsi="Times New Roman" w:cs="Times New Roman"/>
        </w:rPr>
        <w:t xml:space="preserve"> MORH</w:t>
      </w:r>
      <w:r w:rsidR="00AD7410">
        <w:rPr>
          <w:rFonts w:ascii="Times New Roman" w:hAnsi="Times New Roman" w:cs="Times New Roman"/>
        </w:rPr>
        <w:t>-a</w:t>
      </w:r>
      <w:r w:rsidR="00AD5038" w:rsidRPr="00FA7F54">
        <w:rPr>
          <w:rFonts w:ascii="Times New Roman" w:hAnsi="Times New Roman" w:cs="Times New Roman"/>
        </w:rPr>
        <w:t xml:space="preserve"> (55 mil.</w:t>
      </w:r>
      <w:r w:rsidR="007029AF">
        <w:rPr>
          <w:rFonts w:ascii="Times New Roman" w:hAnsi="Times New Roman" w:cs="Times New Roman"/>
        </w:rPr>
        <w:t xml:space="preserve"> kuna</w:t>
      </w:r>
      <w:r w:rsidR="00AD5038" w:rsidRPr="00FA7F54">
        <w:rPr>
          <w:rFonts w:ascii="Times New Roman" w:hAnsi="Times New Roman" w:cs="Times New Roman"/>
        </w:rPr>
        <w:t>) i MUP</w:t>
      </w:r>
      <w:r w:rsidR="00AD7410">
        <w:rPr>
          <w:rFonts w:ascii="Times New Roman" w:hAnsi="Times New Roman" w:cs="Times New Roman"/>
        </w:rPr>
        <w:t>-a</w:t>
      </w:r>
      <w:r w:rsidR="00AD5038" w:rsidRPr="00FA7F54">
        <w:rPr>
          <w:rFonts w:ascii="Times New Roman" w:hAnsi="Times New Roman" w:cs="Times New Roman"/>
        </w:rPr>
        <w:t xml:space="preserve"> (9 mil.</w:t>
      </w:r>
      <w:r w:rsidR="007029AF">
        <w:rPr>
          <w:rFonts w:ascii="Times New Roman" w:hAnsi="Times New Roman" w:cs="Times New Roman"/>
        </w:rPr>
        <w:t xml:space="preserve"> kuna</w:t>
      </w:r>
      <w:r w:rsidR="00AD5038" w:rsidRPr="00FA7F54">
        <w:rPr>
          <w:rFonts w:ascii="Times New Roman" w:hAnsi="Times New Roman" w:cs="Times New Roman"/>
        </w:rPr>
        <w:t>)</w:t>
      </w:r>
      <w:r w:rsidR="001824F7" w:rsidRPr="00FA7F54">
        <w:rPr>
          <w:rFonts w:ascii="Times New Roman" w:hAnsi="Times New Roman" w:cs="Times New Roman"/>
        </w:rPr>
        <w:t>.</w:t>
      </w:r>
    </w:p>
    <w:p w:rsidR="009835A2" w:rsidRPr="007029AF" w:rsidRDefault="009835A2" w:rsidP="006B7B79">
      <w:pPr>
        <w:pStyle w:val="Opisslike"/>
        <w:spacing w:after="0"/>
        <w:jc w:val="both"/>
        <w:rPr>
          <w:rFonts w:ascii="Times New Roman" w:hAnsi="Times New Roman" w:cs="Times New Roman"/>
          <w:sz w:val="20"/>
          <w:szCs w:val="20"/>
        </w:rPr>
      </w:pPr>
      <w:bookmarkStart w:id="55" w:name="_Toc436402273"/>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26</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 xml:space="preserve">: </w:t>
      </w:r>
      <w:r w:rsidR="004065BD" w:rsidRPr="006B7B79">
        <w:rPr>
          <w:rFonts w:ascii="Times New Roman" w:hAnsi="Times New Roman" w:cs="Times New Roman"/>
          <w:sz w:val="20"/>
          <w:szCs w:val="20"/>
        </w:rPr>
        <w:t>Materijal i dijelovi za tekuće i investicijsko održavanje prema podacima iskazanim u državnom proračunu – izvršenje za 2014. (u mil.</w:t>
      </w:r>
      <w:r w:rsidR="007029AF">
        <w:rPr>
          <w:rFonts w:ascii="Times New Roman" w:hAnsi="Times New Roman" w:cs="Times New Roman"/>
          <w:sz w:val="20"/>
          <w:szCs w:val="20"/>
        </w:rPr>
        <w:t xml:space="preserve"> kuna</w:t>
      </w:r>
      <w:r w:rsidR="004065BD" w:rsidRPr="006B7B79">
        <w:rPr>
          <w:rFonts w:ascii="Times New Roman" w:hAnsi="Times New Roman" w:cs="Times New Roman"/>
          <w:sz w:val="20"/>
          <w:szCs w:val="20"/>
        </w:rPr>
        <w:t>)</w:t>
      </w:r>
      <w:bookmarkEnd w:id="55"/>
    </w:p>
    <w:tbl>
      <w:tblPr>
        <w:tblW w:w="8443" w:type="dxa"/>
        <w:jc w:val="center"/>
        <w:tblInd w:w="93" w:type="dxa"/>
        <w:tblLook w:val="04A0" w:firstRow="1" w:lastRow="0" w:firstColumn="1" w:lastColumn="0" w:noHBand="0" w:noVBand="1"/>
      </w:tblPr>
      <w:tblGrid>
        <w:gridCol w:w="1300"/>
        <w:gridCol w:w="1340"/>
        <w:gridCol w:w="1486"/>
        <w:gridCol w:w="1559"/>
        <w:gridCol w:w="1418"/>
        <w:gridCol w:w="1340"/>
      </w:tblGrid>
      <w:tr w:rsidR="0035337C" w:rsidRPr="00D649F0" w:rsidTr="006B7B79">
        <w:trPr>
          <w:trHeight w:val="1308"/>
          <w:jc w:val="center"/>
        </w:trPr>
        <w:tc>
          <w:tcPr>
            <w:tcW w:w="1300"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35337C" w:rsidRPr="00D649F0" w:rsidRDefault="0035337C" w:rsidP="006B7B79">
            <w:pPr>
              <w:spacing w:after="0" w:line="240" w:lineRule="auto"/>
              <w:jc w:val="center"/>
              <w:rPr>
                <w:rFonts w:ascii="Arial" w:eastAsia="Times New Roman" w:hAnsi="Arial" w:cs="Arial"/>
                <w:b/>
                <w:bCs/>
                <w:sz w:val="16"/>
                <w:szCs w:val="16"/>
                <w:lang w:eastAsia="hr-HR"/>
              </w:rPr>
            </w:pPr>
            <w:r w:rsidRPr="00D649F0">
              <w:rPr>
                <w:rFonts w:ascii="Arial" w:eastAsia="Times New Roman" w:hAnsi="Arial" w:cs="Arial"/>
                <w:b/>
                <w:bCs/>
                <w:sz w:val="16"/>
                <w:szCs w:val="16"/>
                <w:lang w:eastAsia="hr-HR"/>
              </w:rPr>
              <w:t>Izvršenje 2014.</w:t>
            </w:r>
          </w:p>
        </w:tc>
        <w:tc>
          <w:tcPr>
            <w:tcW w:w="1340" w:type="dxa"/>
            <w:tcBorders>
              <w:top w:val="single" w:sz="4" w:space="0" w:color="000080"/>
              <w:left w:val="nil"/>
              <w:bottom w:val="single" w:sz="4" w:space="0" w:color="000080"/>
              <w:right w:val="single" w:sz="4" w:space="0" w:color="000080"/>
            </w:tcBorders>
            <w:shd w:val="clear" w:color="000000" w:fill="DCE6F1"/>
            <w:vAlign w:val="center"/>
            <w:hideMark/>
          </w:tcPr>
          <w:p w:rsidR="0035337C" w:rsidRPr="00D649F0" w:rsidRDefault="0035337C" w:rsidP="006B7B79">
            <w:pPr>
              <w:spacing w:after="0" w:line="240" w:lineRule="auto"/>
              <w:ind w:firstLineChars="100" w:firstLine="161"/>
              <w:jc w:val="center"/>
              <w:rPr>
                <w:rFonts w:ascii="Arial" w:eastAsia="Times New Roman" w:hAnsi="Arial" w:cs="Arial"/>
                <w:b/>
                <w:bCs/>
                <w:sz w:val="16"/>
                <w:szCs w:val="16"/>
                <w:lang w:eastAsia="hr-HR"/>
              </w:rPr>
            </w:pPr>
            <w:r w:rsidRPr="00D649F0">
              <w:rPr>
                <w:rFonts w:ascii="Arial" w:eastAsia="Times New Roman" w:hAnsi="Arial" w:cs="Arial"/>
                <w:b/>
                <w:bCs/>
                <w:sz w:val="16"/>
                <w:szCs w:val="16"/>
                <w:lang w:eastAsia="hr-HR"/>
              </w:rPr>
              <w:t>Materijal i dijelovi za tekuće i investicijsko održavanje</w:t>
            </w:r>
          </w:p>
        </w:tc>
        <w:tc>
          <w:tcPr>
            <w:tcW w:w="1486" w:type="dxa"/>
            <w:tcBorders>
              <w:top w:val="single" w:sz="4" w:space="0" w:color="000080"/>
              <w:left w:val="nil"/>
              <w:bottom w:val="single" w:sz="4" w:space="0" w:color="000080"/>
              <w:right w:val="single" w:sz="4" w:space="0" w:color="000080"/>
            </w:tcBorders>
            <w:shd w:val="clear" w:color="000000" w:fill="DCE6F1"/>
            <w:vAlign w:val="center"/>
            <w:hideMark/>
          </w:tcPr>
          <w:p w:rsidR="0035337C" w:rsidRPr="00D649F0" w:rsidRDefault="0035337C" w:rsidP="006B7B79">
            <w:pPr>
              <w:spacing w:after="0" w:line="240" w:lineRule="auto"/>
              <w:ind w:firstLineChars="100" w:firstLine="160"/>
              <w:jc w:val="center"/>
              <w:rPr>
                <w:rFonts w:ascii="Arial" w:eastAsia="Times New Roman" w:hAnsi="Arial" w:cs="Arial"/>
                <w:sz w:val="16"/>
                <w:szCs w:val="16"/>
                <w:lang w:eastAsia="hr-HR"/>
              </w:rPr>
            </w:pPr>
            <w:r w:rsidRPr="00D649F0">
              <w:rPr>
                <w:rFonts w:ascii="Arial" w:eastAsia="Times New Roman" w:hAnsi="Arial" w:cs="Arial"/>
                <w:sz w:val="16"/>
                <w:szCs w:val="16"/>
                <w:lang w:eastAsia="hr-HR"/>
              </w:rPr>
              <w:t>Materijal i dijelovi za tekuće i investicijsko održavanje građevinskih objekata</w:t>
            </w:r>
          </w:p>
        </w:tc>
        <w:tc>
          <w:tcPr>
            <w:tcW w:w="1559" w:type="dxa"/>
            <w:tcBorders>
              <w:top w:val="single" w:sz="4" w:space="0" w:color="000080"/>
              <w:left w:val="nil"/>
              <w:bottom w:val="single" w:sz="4" w:space="0" w:color="000080"/>
              <w:right w:val="single" w:sz="4" w:space="0" w:color="000080"/>
            </w:tcBorders>
            <w:shd w:val="clear" w:color="000000" w:fill="DCE6F1"/>
            <w:vAlign w:val="center"/>
            <w:hideMark/>
          </w:tcPr>
          <w:p w:rsidR="0035337C" w:rsidRPr="00D649F0" w:rsidRDefault="0035337C" w:rsidP="006B7B79">
            <w:pPr>
              <w:spacing w:after="0" w:line="240" w:lineRule="auto"/>
              <w:ind w:firstLineChars="100" w:firstLine="160"/>
              <w:jc w:val="center"/>
              <w:rPr>
                <w:rFonts w:ascii="Arial" w:eastAsia="Times New Roman" w:hAnsi="Arial" w:cs="Arial"/>
                <w:sz w:val="16"/>
                <w:szCs w:val="16"/>
                <w:lang w:eastAsia="hr-HR"/>
              </w:rPr>
            </w:pPr>
            <w:r w:rsidRPr="00D649F0">
              <w:rPr>
                <w:rFonts w:ascii="Arial" w:eastAsia="Times New Roman" w:hAnsi="Arial" w:cs="Arial"/>
                <w:sz w:val="16"/>
                <w:szCs w:val="16"/>
                <w:lang w:eastAsia="hr-HR"/>
              </w:rPr>
              <w:t>Materijal i dijelovi za tekuće i investicijsko održavanje postrojenja i opreme</w:t>
            </w:r>
          </w:p>
        </w:tc>
        <w:tc>
          <w:tcPr>
            <w:tcW w:w="1418" w:type="dxa"/>
            <w:tcBorders>
              <w:top w:val="single" w:sz="4" w:space="0" w:color="000080"/>
              <w:left w:val="nil"/>
              <w:bottom w:val="single" w:sz="4" w:space="0" w:color="000080"/>
              <w:right w:val="single" w:sz="4" w:space="0" w:color="000080"/>
            </w:tcBorders>
            <w:shd w:val="clear" w:color="000000" w:fill="DCE6F1"/>
            <w:vAlign w:val="center"/>
            <w:hideMark/>
          </w:tcPr>
          <w:p w:rsidR="0035337C" w:rsidRPr="00D649F0" w:rsidRDefault="0035337C" w:rsidP="006B7B79">
            <w:pPr>
              <w:spacing w:after="0" w:line="240" w:lineRule="auto"/>
              <w:ind w:firstLineChars="100" w:firstLine="160"/>
              <w:jc w:val="center"/>
              <w:rPr>
                <w:rFonts w:ascii="Arial" w:eastAsia="Times New Roman" w:hAnsi="Arial" w:cs="Arial"/>
                <w:sz w:val="16"/>
                <w:szCs w:val="16"/>
                <w:lang w:eastAsia="hr-HR"/>
              </w:rPr>
            </w:pPr>
            <w:r w:rsidRPr="00D649F0">
              <w:rPr>
                <w:rFonts w:ascii="Arial" w:eastAsia="Times New Roman" w:hAnsi="Arial" w:cs="Arial"/>
                <w:sz w:val="16"/>
                <w:szCs w:val="16"/>
                <w:lang w:eastAsia="hr-HR"/>
              </w:rPr>
              <w:t>Materijal i dijelovi za tekuće i investicijsko održavanje transportnih sredstava</w:t>
            </w:r>
          </w:p>
        </w:tc>
        <w:tc>
          <w:tcPr>
            <w:tcW w:w="1340" w:type="dxa"/>
            <w:tcBorders>
              <w:top w:val="single" w:sz="4" w:space="0" w:color="000080"/>
              <w:left w:val="nil"/>
              <w:bottom w:val="single" w:sz="4" w:space="0" w:color="000080"/>
              <w:right w:val="single" w:sz="4" w:space="0" w:color="000080"/>
            </w:tcBorders>
            <w:shd w:val="clear" w:color="000000" w:fill="DCE6F1"/>
            <w:vAlign w:val="center"/>
            <w:hideMark/>
          </w:tcPr>
          <w:p w:rsidR="0035337C" w:rsidRPr="00D649F0" w:rsidRDefault="0035337C" w:rsidP="006B7B79">
            <w:pPr>
              <w:spacing w:after="0" w:line="240" w:lineRule="auto"/>
              <w:ind w:firstLineChars="100" w:firstLine="160"/>
              <w:jc w:val="center"/>
              <w:rPr>
                <w:rFonts w:ascii="Arial" w:eastAsia="Times New Roman" w:hAnsi="Arial" w:cs="Arial"/>
                <w:sz w:val="16"/>
                <w:szCs w:val="16"/>
                <w:lang w:eastAsia="hr-HR"/>
              </w:rPr>
            </w:pPr>
            <w:r w:rsidRPr="00D649F0">
              <w:rPr>
                <w:rFonts w:ascii="Arial" w:eastAsia="Times New Roman" w:hAnsi="Arial" w:cs="Arial"/>
                <w:sz w:val="16"/>
                <w:szCs w:val="16"/>
                <w:lang w:eastAsia="hr-HR"/>
              </w:rPr>
              <w:t>Ostali materijal i dijelovi za tekuće i investicijsko održavanje</w:t>
            </w:r>
          </w:p>
        </w:tc>
      </w:tr>
      <w:tr w:rsidR="0035337C" w:rsidRPr="00D649F0" w:rsidTr="006B7B79">
        <w:trPr>
          <w:trHeight w:val="300"/>
          <w:jc w:val="center"/>
        </w:trPr>
        <w:tc>
          <w:tcPr>
            <w:tcW w:w="1300" w:type="dxa"/>
            <w:tcBorders>
              <w:top w:val="nil"/>
              <w:left w:val="single" w:sz="4" w:space="0" w:color="000080"/>
              <w:bottom w:val="single" w:sz="4" w:space="0" w:color="000080"/>
              <w:right w:val="single" w:sz="4" w:space="0" w:color="000080"/>
            </w:tcBorders>
            <w:shd w:val="clear" w:color="000000" w:fill="DCE6F1"/>
            <w:noWrap/>
            <w:vAlign w:val="center"/>
            <w:hideMark/>
          </w:tcPr>
          <w:p w:rsidR="0035337C" w:rsidRPr="00D649F0" w:rsidRDefault="0035337C" w:rsidP="00D649F0">
            <w:pPr>
              <w:spacing w:after="0" w:line="240" w:lineRule="auto"/>
              <w:ind w:firstLineChars="200" w:firstLine="320"/>
              <w:rPr>
                <w:rFonts w:ascii="Arial" w:eastAsia="Times New Roman" w:hAnsi="Arial" w:cs="Arial"/>
                <w:sz w:val="16"/>
                <w:szCs w:val="16"/>
                <w:lang w:eastAsia="hr-HR"/>
              </w:rPr>
            </w:pPr>
            <w:r w:rsidRPr="00D649F0">
              <w:rPr>
                <w:rFonts w:ascii="Arial" w:eastAsia="Times New Roman" w:hAnsi="Arial" w:cs="Arial"/>
                <w:sz w:val="16"/>
                <w:szCs w:val="16"/>
                <w:lang w:eastAsia="hr-HR"/>
              </w:rPr>
              <w:t>- Ukupno</w:t>
            </w:r>
          </w:p>
        </w:tc>
        <w:tc>
          <w:tcPr>
            <w:tcW w:w="1340" w:type="dxa"/>
            <w:tcBorders>
              <w:top w:val="nil"/>
              <w:left w:val="nil"/>
              <w:bottom w:val="single" w:sz="4" w:space="0" w:color="000080"/>
              <w:right w:val="single" w:sz="4" w:space="0" w:color="000080"/>
            </w:tcBorders>
            <w:shd w:val="clear" w:color="000000" w:fill="DCE6F1"/>
            <w:noWrap/>
            <w:vAlign w:val="center"/>
            <w:hideMark/>
          </w:tcPr>
          <w:p w:rsidR="0035337C" w:rsidRPr="00D649F0" w:rsidRDefault="0035337C" w:rsidP="0035337C">
            <w:pPr>
              <w:spacing w:after="0" w:line="240" w:lineRule="auto"/>
              <w:jc w:val="right"/>
              <w:rPr>
                <w:rFonts w:ascii="Arial" w:eastAsia="Times New Roman" w:hAnsi="Arial" w:cs="Arial"/>
                <w:b/>
                <w:bCs/>
                <w:color w:val="000000"/>
                <w:sz w:val="16"/>
                <w:szCs w:val="16"/>
                <w:lang w:eastAsia="hr-HR"/>
              </w:rPr>
            </w:pPr>
            <w:r w:rsidRPr="00D649F0">
              <w:rPr>
                <w:rFonts w:ascii="Arial" w:eastAsia="Times New Roman" w:hAnsi="Arial" w:cs="Arial"/>
                <w:b/>
                <w:bCs/>
                <w:color w:val="000000"/>
                <w:sz w:val="16"/>
                <w:szCs w:val="16"/>
                <w:lang w:eastAsia="hr-HR"/>
              </w:rPr>
              <w:t>108,432</w:t>
            </w:r>
          </w:p>
        </w:tc>
        <w:tc>
          <w:tcPr>
            <w:tcW w:w="1486" w:type="dxa"/>
            <w:tcBorders>
              <w:top w:val="nil"/>
              <w:left w:val="nil"/>
              <w:bottom w:val="single" w:sz="4" w:space="0" w:color="000080"/>
              <w:right w:val="single" w:sz="4" w:space="0" w:color="000080"/>
            </w:tcBorders>
            <w:shd w:val="clear" w:color="000000" w:fill="DCE6F1"/>
            <w:noWrap/>
            <w:vAlign w:val="center"/>
            <w:hideMark/>
          </w:tcPr>
          <w:p w:rsidR="0035337C" w:rsidRPr="00D649F0" w:rsidRDefault="0035337C" w:rsidP="0035337C">
            <w:pPr>
              <w:spacing w:after="0" w:line="240" w:lineRule="auto"/>
              <w:jc w:val="right"/>
              <w:rPr>
                <w:rFonts w:ascii="Arial" w:eastAsia="Times New Roman" w:hAnsi="Arial" w:cs="Arial"/>
                <w:color w:val="000000"/>
                <w:sz w:val="16"/>
                <w:szCs w:val="16"/>
                <w:lang w:eastAsia="hr-HR"/>
              </w:rPr>
            </w:pPr>
            <w:r w:rsidRPr="00D649F0">
              <w:rPr>
                <w:rFonts w:ascii="Arial" w:eastAsia="Times New Roman" w:hAnsi="Arial" w:cs="Arial"/>
                <w:color w:val="000000"/>
                <w:sz w:val="16"/>
                <w:szCs w:val="16"/>
                <w:lang w:eastAsia="hr-HR"/>
              </w:rPr>
              <w:t>15,511</w:t>
            </w:r>
          </w:p>
        </w:tc>
        <w:tc>
          <w:tcPr>
            <w:tcW w:w="1559" w:type="dxa"/>
            <w:tcBorders>
              <w:top w:val="nil"/>
              <w:left w:val="nil"/>
              <w:bottom w:val="single" w:sz="4" w:space="0" w:color="000080"/>
              <w:right w:val="single" w:sz="4" w:space="0" w:color="000080"/>
            </w:tcBorders>
            <w:shd w:val="clear" w:color="000000" w:fill="DCE6F1"/>
            <w:noWrap/>
            <w:vAlign w:val="center"/>
            <w:hideMark/>
          </w:tcPr>
          <w:p w:rsidR="0035337C" w:rsidRPr="00D649F0" w:rsidRDefault="0035337C" w:rsidP="0035337C">
            <w:pPr>
              <w:spacing w:after="0" w:line="240" w:lineRule="auto"/>
              <w:jc w:val="right"/>
              <w:rPr>
                <w:rFonts w:ascii="Arial" w:eastAsia="Times New Roman" w:hAnsi="Arial" w:cs="Arial"/>
                <w:color w:val="000000"/>
                <w:sz w:val="16"/>
                <w:szCs w:val="16"/>
                <w:lang w:eastAsia="hr-HR"/>
              </w:rPr>
            </w:pPr>
            <w:r w:rsidRPr="00D649F0">
              <w:rPr>
                <w:rFonts w:ascii="Arial" w:eastAsia="Times New Roman" w:hAnsi="Arial" w:cs="Arial"/>
                <w:color w:val="000000"/>
                <w:sz w:val="16"/>
                <w:szCs w:val="16"/>
                <w:lang w:eastAsia="hr-HR"/>
              </w:rPr>
              <w:t>73,107</w:t>
            </w:r>
          </w:p>
        </w:tc>
        <w:tc>
          <w:tcPr>
            <w:tcW w:w="1418" w:type="dxa"/>
            <w:tcBorders>
              <w:top w:val="nil"/>
              <w:left w:val="nil"/>
              <w:bottom w:val="single" w:sz="4" w:space="0" w:color="000080"/>
              <w:right w:val="single" w:sz="4" w:space="0" w:color="000080"/>
            </w:tcBorders>
            <w:shd w:val="clear" w:color="000000" w:fill="DCE6F1"/>
            <w:noWrap/>
            <w:vAlign w:val="center"/>
            <w:hideMark/>
          </w:tcPr>
          <w:p w:rsidR="0035337C" w:rsidRPr="00D649F0" w:rsidRDefault="0035337C" w:rsidP="0035337C">
            <w:pPr>
              <w:spacing w:after="0" w:line="240" w:lineRule="auto"/>
              <w:jc w:val="right"/>
              <w:rPr>
                <w:rFonts w:ascii="Arial" w:eastAsia="Times New Roman" w:hAnsi="Arial" w:cs="Arial"/>
                <w:color w:val="000000"/>
                <w:sz w:val="16"/>
                <w:szCs w:val="16"/>
                <w:lang w:eastAsia="hr-HR"/>
              </w:rPr>
            </w:pPr>
            <w:r w:rsidRPr="00D649F0">
              <w:rPr>
                <w:rFonts w:ascii="Arial" w:eastAsia="Times New Roman" w:hAnsi="Arial" w:cs="Arial"/>
                <w:color w:val="000000"/>
                <w:sz w:val="16"/>
                <w:szCs w:val="16"/>
                <w:lang w:eastAsia="hr-HR"/>
              </w:rPr>
              <w:t>10,811</w:t>
            </w:r>
          </w:p>
        </w:tc>
        <w:tc>
          <w:tcPr>
            <w:tcW w:w="1340" w:type="dxa"/>
            <w:tcBorders>
              <w:top w:val="nil"/>
              <w:left w:val="nil"/>
              <w:bottom w:val="single" w:sz="4" w:space="0" w:color="000080"/>
              <w:right w:val="single" w:sz="4" w:space="0" w:color="000080"/>
            </w:tcBorders>
            <w:shd w:val="clear" w:color="000000" w:fill="DCE6F1"/>
            <w:noWrap/>
            <w:vAlign w:val="center"/>
            <w:hideMark/>
          </w:tcPr>
          <w:p w:rsidR="0035337C" w:rsidRPr="00D649F0" w:rsidRDefault="0035337C" w:rsidP="0035337C">
            <w:pPr>
              <w:spacing w:after="0" w:line="240" w:lineRule="auto"/>
              <w:jc w:val="right"/>
              <w:rPr>
                <w:rFonts w:ascii="Arial" w:eastAsia="Times New Roman" w:hAnsi="Arial" w:cs="Arial"/>
                <w:color w:val="000000"/>
                <w:sz w:val="16"/>
                <w:szCs w:val="16"/>
                <w:lang w:eastAsia="hr-HR"/>
              </w:rPr>
            </w:pPr>
            <w:r w:rsidRPr="00D649F0">
              <w:rPr>
                <w:rFonts w:ascii="Arial" w:eastAsia="Times New Roman" w:hAnsi="Arial" w:cs="Arial"/>
                <w:color w:val="000000"/>
                <w:sz w:val="16"/>
                <w:szCs w:val="16"/>
                <w:lang w:eastAsia="hr-HR"/>
              </w:rPr>
              <w:t>9,003</w:t>
            </w:r>
          </w:p>
        </w:tc>
      </w:tr>
      <w:tr w:rsidR="0035337C" w:rsidRPr="00D649F0" w:rsidTr="006B7B79">
        <w:trPr>
          <w:trHeight w:val="300"/>
          <w:jc w:val="center"/>
        </w:trPr>
        <w:tc>
          <w:tcPr>
            <w:tcW w:w="1300" w:type="dxa"/>
            <w:tcBorders>
              <w:top w:val="nil"/>
              <w:left w:val="single" w:sz="4" w:space="0" w:color="000080"/>
              <w:bottom w:val="single" w:sz="4" w:space="0" w:color="000080"/>
              <w:right w:val="single" w:sz="4" w:space="0" w:color="000080"/>
            </w:tcBorders>
            <w:shd w:val="clear" w:color="auto" w:fill="auto"/>
            <w:noWrap/>
            <w:vAlign w:val="center"/>
            <w:hideMark/>
          </w:tcPr>
          <w:p w:rsidR="0035337C" w:rsidRPr="00D649F0" w:rsidRDefault="0035337C" w:rsidP="00D649F0">
            <w:pPr>
              <w:spacing w:after="0" w:line="240" w:lineRule="auto"/>
              <w:ind w:firstLineChars="200" w:firstLine="320"/>
              <w:rPr>
                <w:rFonts w:ascii="Arial" w:eastAsia="Times New Roman" w:hAnsi="Arial" w:cs="Arial"/>
                <w:sz w:val="16"/>
                <w:szCs w:val="16"/>
                <w:lang w:eastAsia="hr-HR"/>
              </w:rPr>
            </w:pPr>
            <w:r w:rsidRPr="00D649F0">
              <w:rPr>
                <w:rFonts w:ascii="Arial" w:eastAsia="Times New Roman" w:hAnsi="Arial" w:cs="Arial"/>
                <w:sz w:val="16"/>
                <w:szCs w:val="16"/>
                <w:lang w:eastAsia="hr-HR"/>
              </w:rPr>
              <w:t>- 1+2+8</w:t>
            </w:r>
          </w:p>
        </w:tc>
        <w:tc>
          <w:tcPr>
            <w:tcW w:w="1340" w:type="dxa"/>
            <w:tcBorders>
              <w:top w:val="nil"/>
              <w:left w:val="nil"/>
              <w:bottom w:val="single" w:sz="4" w:space="0" w:color="000080"/>
              <w:right w:val="single" w:sz="4" w:space="0" w:color="000080"/>
            </w:tcBorders>
            <w:shd w:val="clear" w:color="auto" w:fill="auto"/>
            <w:noWrap/>
            <w:vAlign w:val="center"/>
            <w:hideMark/>
          </w:tcPr>
          <w:p w:rsidR="0035337C" w:rsidRPr="00D649F0" w:rsidRDefault="0035337C" w:rsidP="0035337C">
            <w:pPr>
              <w:spacing w:after="0" w:line="240" w:lineRule="auto"/>
              <w:jc w:val="right"/>
              <w:rPr>
                <w:rFonts w:ascii="Arial" w:eastAsia="Times New Roman" w:hAnsi="Arial" w:cs="Arial"/>
                <w:b/>
                <w:bCs/>
                <w:color w:val="000000"/>
                <w:sz w:val="16"/>
                <w:szCs w:val="16"/>
                <w:lang w:eastAsia="hr-HR"/>
              </w:rPr>
            </w:pPr>
            <w:r w:rsidRPr="00D649F0">
              <w:rPr>
                <w:rFonts w:ascii="Arial" w:eastAsia="Times New Roman" w:hAnsi="Arial" w:cs="Arial"/>
                <w:b/>
                <w:bCs/>
                <w:color w:val="000000"/>
                <w:sz w:val="16"/>
                <w:szCs w:val="16"/>
                <w:lang w:eastAsia="hr-HR"/>
              </w:rPr>
              <w:t>93,728</w:t>
            </w:r>
          </w:p>
        </w:tc>
        <w:tc>
          <w:tcPr>
            <w:tcW w:w="1486" w:type="dxa"/>
            <w:tcBorders>
              <w:top w:val="nil"/>
              <w:left w:val="nil"/>
              <w:bottom w:val="single" w:sz="4" w:space="0" w:color="000080"/>
              <w:right w:val="single" w:sz="4" w:space="0" w:color="000080"/>
            </w:tcBorders>
            <w:shd w:val="clear" w:color="auto" w:fill="auto"/>
            <w:noWrap/>
            <w:vAlign w:val="center"/>
            <w:hideMark/>
          </w:tcPr>
          <w:p w:rsidR="0035337C" w:rsidRPr="00D649F0" w:rsidRDefault="0035337C" w:rsidP="0035337C">
            <w:pPr>
              <w:spacing w:after="0" w:line="240" w:lineRule="auto"/>
              <w:jc w:val="right"/>
              <w:rPr>
                <w:rFonts w:ascii="Arial" w:eastAsia="Times New Roman" w:hAnsi="Arial" w:cs="Arial"/>
                <w:color w:val="000000"/>
                <w:sz w:val="16"/>
                <w:szCs w:val="16"/>
                <w:lang w:eastAsia="hr-HR"/>
              </w:rPr>
            </w:pPr>
            <w:r w:rsidRPr="00D649F0">
              <w:rPr>
                <w:rFonts w:ascii="Arial" w:eastAsia="Times New Roman" w:hAnsi="Arial" w:cs="Arial"/>
                <w:color w:val="000000"/>
                <w:sz w:val="16"/>
                <w:szCs w:val="16"/>
                <w:lang w:eastAsia="hr-HR"/>
              </w:rPr>
              <w:t>14,35</w:t>
            </w:r>
            <w:r w:rsidR="005B329A" w:rsidRPr="00D649F0">
              <w:rPr>
                <w:rFonts w:ascii="Arial" w:eastAsia="Times New Roman" w:hAnsi="Arial" w:cs="Arial"/>
                <w:color w:val="000000"/>
                <w:sz w:val="16"/>
                <w:szCs w:val="16"/>
                <w:lang w:eastAsia="hr-HR"/>
              </w:rPr>
              <w:t>0</w:t>
            </w:r>
          </w:p>
        </w:tc>
        <w:tc>
          <w:tcPr>
            <w:tcW w:w="1559" w:type="dxa"/>
            <w:tcBorders>
              <w:top w:val="nil"/>
              <w:left w:val="nil"/>
              <w:bottom w:val="single" w:sz="4" w:space="0" w:color="000080"/>
              <w:right w:val="single" w:sz="4" w:space="0" w:color="000080"/>
            </w:tcBorders>
            <w:shd w:val="clear" w:color="auto" w:fill="auto"/>
            <w:noWrap/>
            <w:vAlign w:val="center"/>
            <w:hideMark/>
          </w:tcPr>
          <w:p w:rsidR="0035337C" w:rsidRPr="00D649F0" w:rsidRDefault="0035337C" w:rsidP="0035337C">
            <w:pPr>
              <w:spacing w:after="0" w:line="240" w:lineRule="auto"/>
              <w:jc w:val="right"/>
              <w:rPr>
                <w:rFonts w:ascii="Arial" w:eastAsia="Times New Roman" w:hAnsi="Arial" w:cs="Arial"/>
                <w:color w:val="000000"/>
                <w:sz w:val="16"/>
                <w:szCs w:val="16"/>
                <w:lang w:eastAsia="hr-HR"/>
              </w:rPr>
            </w:pPr>
            <w:r w:rsidRPr="00D649F0">
              <w:rPr>
                <w:rFonts w:ascii="Arial" w:eastAsia="Times New Roman" w:hAnsi="Arial" w:cs="Arial"/>
                <w:color w:val="000000"/>
                <w:sz w:val="16"/>
                <w:szCs w:val="16"/>
                <w:lang w:eastAsia="hr-HR"/>
              </w:rPr>
              <w:t>59,95</w:t>
            </w:r>
            <w:r w:rsidR="005B329A" w:rsidRPr="00D649F0">
              <w:rPr>
                <w:rFonts w:ascii="Arial" w:eastAsia="Times New Roman" w:hAnsi="Arial" w:cs="Arial"/>
                <w:color w:val="000000"/>
                <w:sz w:val="16"/>
                <w:szCs w:val="16"/>
                <w:lang w:eastAsia="hr-HR"/>
              </w:rPr>
              <w:t>0</w:t>
            </w:r>
          </w:p>
        </w:tc>
        <w:tc>
          <w:tcPr>
            <w:tcW w:w="1418" w:type="dxa"/>
            <w:tcBorders>
              <w:top w:val="nil"/>
              <w:left w:val="nil"/>
              <w:bottom w:val="single" w:sz="4" w:space="0" w:color="000080"/>
              <w:right w:val="single" w:sz="4" w:space="0" w:color="000080"/>
            </w:tcBorders>
            <w:shd w:val="clear" w:color="auto" w:fill="auto"/>
            <w:noWrap/>
            <w:vAlign w:val="center"/>
            <w:hideMark/>
          </w:tcPr>
          <w:p w:rsidR="0035337C" w:rsidRPr="00D649F0" w:rsidRDefault="0035337C" w:rsidP="0035337C">
            <w:pPr>
              <w:spacing w:after="0" w:line="240" w:lineRule="auto"/>
              <w:jc w:val="right"/>
              <w:rPr>
                <w:rFonts w:ascii="Arial" w:eastAsia="Times New Roman" w:hAnsi="Arial" w:cs="Arial"/>
                <w:color w:val="000000"/>
                <w:sz w:val="16"/>
                <w:szCs w:val="16"/>
                <w:lang w:eastAsia="hr-HR"/>
              </w:rPr>
            </w:pPr>
            <w:r w:rsidRPr="00D649F0">
              <w:rPr>
                <w:rFonts w:ascii="Arial" w:eastAsia="Times New Roman" w:hAnsi="Arial" w:cs="Arial"/>
                <w:color w:val="000000"/>
                <w:sz w:val="16"/>
                <w:szCs w:val="16"/>
                <w:lang w:eastAsia="hr-HR"/>
              </w:rPr>
              <w:t>10,721</w:t>
            </w:r>
          </w:p>
        </w:tc>
        <w:tc>
          <w:tcPr>
            <w:tcW w:w="1340" w:type="dxa"/>
            <w:tcBorders>
              <w:top w:val="nil"/>
              <w:left w:val="nil"/>
              <w:bottom w:val="single" w:sz="4" w:space="0" w:color="000080"/>
              <w:right w:val="single" w:sz="4" w:space="0" w:color="000080"/>
            </w:tcBorders>
            <w:shd w:val="clear" w:color="auto" w:fill="auto"/>
            <w:noWrap/>
            <w:vAlign w:val="center"/>
            <w:hideMark/>
          </w:tcPr>
          <w:p w:rsidR="0035337C" w:rsidRPr="00D649F0" w:rsidRDefault="0035337C" w:rsidP="0035337C">
            <w:pPr>
              <w:spacing w:after="0" w:line="240" w:lineRule="auto"/>
              <w:jc w:val="right"/>
              <w:rPr>
                <w:rFonts w:ascii="Arial" w:eastAsia="Times New Roman" w:hAnsi="Arial" w:cs="Arial"/>
                <w:color w:val="000000"/>
                <w:sz w:val="16"/>
                <w:szCs w:val="16"/>
                <w:lang w:eastAsia="hr-HR"/>
              </w:rPr>
            </w:pPr>
            <w:r w:rsidRPr="00D649F0">
              <w:rPr>
                <w:rFonts w:ascii="Arial" w:eastAsia="Times New Roman" w:hAnsi="Arial" w:cs="Arial"/>
                <w:color w:val="000000"/>
                <w:sz w:val="16"/>
                <w:szCs w:val="16"/>
                <w:lang w:eastAsia="hr-HR"/>
              </w:rPr>
              <w:t>8,706</w:t>
            </w:r>
          </w:p>
        </w:tc>
      </w:tr>
      <w:tr w:rsidR="0035337C" w:rsidRPr="00D649F0" w:rsidTr="006B7B79">
        <w:trPr>
          <w:trHeight w:val="300"/>
          <w:jc w:val="center"/>
        </w:trPr>
        <w:tc>
          <w:tcPr>
            <w:tcW w:w="1300" w:type="dxa"/>
            <w:tcBorders>
              <w:top w:val="nil"/>
              <w:left w:val="single" w:sz="4" w:space="0" w:color="000080"/>
              <w:bottom w:val="single" w:sz="4" w:space="0" w:color="000080"/>
              <w:right w:val="single" w:sz="4" w:space="0" w:color="000080"/>
            </w:tcBorders>
            <w:shd w:val="clear" w:color="auto" w:fill="auto"/>
            <w:noWrap/>
            <w:vAlign w:val="center"/>
            <w:hideMark/>
          </w:tcPr>
          <w:p w:rsidR="0035337C" w:rsidRPr="00D649F0" w:rsidRDefault="0035337C" w:rsidP="00D649F0">
            <w:pPr>
              <w:spacing w:after="0" w:line="240" w:lineRule="auto"/>
              <w:ind w:firstLineChars="200" w:firstLine="320"/>
              <w:rPr>
                <w:rFonts w:ascii="Arial" w:eastAsia="Times New Roman" w:hAnsi="Arial" w:cs="Arial"/>
                <w:sz w:val="16"/>
                <w:szCs w:val="16"/>
                <w:lang w:eastAsia="hr-HR"/>
              </w:rPr>
            </w:pPr>
            <w:r w:rsidRPr="00D649F0">
              <w:rPr>
                <w:rFonts w:ascii="Arial" w:eastAsia="Times New Roman" w:hAnsi="Arial" w:cs="Arial"/>
                <w:sz w:val="16"/>
                <w:szCs w:val="16"/>
                <w:lang w:eastAsia="hr-HR"/>
              </w:rPr>
              <w:t>- ostali izvori</w:t>
            </w:r>
          </w:p>
        </w:tc>
        <w:tc>
          <w:tcPr>
            <w:tcW w:w="1340" w:type="dxa"/>
            <w:tcBorders>
              <w:top w:val="nil"/>
              <w:left w:val="nil"/>
              <w:bottom w:val="single" w:sz="4" w:space="0" w:color="000080"/>
              <w:right w:val="single" w:sz="4" w:space="0" w:color="000080"/>
            </w:tcBorders>
            <w:shd w:val="clear" w:color="auto" w:fill="auto"/>
            <w:noWrap/>
            <w:vAlign w:val="center"/>
            <w:hideMark/>
          </w:tcPr>
          <w:p w:rsidR="0035337C" w:rsidRPr="00D649F0" w:rsidRDefault="0035337C" w:rsidP="0035337C">
            <w:pPr>
              <w:spacing w:after="0" w:line="240" w:lineRule="auto"/>
              <w:jc w:val="right"/>
              <w:rPr>
                <w:rFonts w:ascii="Arial" w:eastAsia="Times New Roman" w:hAnsi="Arial" w:cs="Arial"/>
                <w:b/>
                <w:bCs/>
                <w:color w:val="000000"/>
                <w:sz w:val="16"/>
                <w:szCs w:val="16"/>
                <w:lang w:eastAsia="hr-HR"/>
              </w:rPr>
            </w:pPr>
            <w:r w:rsidRPr="00D649F0">
              <w:rPr>
                <w:rFonts w:ascii="Arial" w:eastAsia="Times New Roman" w:hAnsi="Arial" w:cs="Arial"/>
                <w:b/>
                <w:bCs/>
                <w:color w:val="000000"/>
                <w:sz w:val="16"/>
                <w:szCs w:val="16"/>
                <w:lang w:eastAsia="hr-HR"/>
              </w:rPr>
              <w:t>14,704</w:t>
            </w:r>
          </w:p>
        </w:tc>
        <w:tc>
          <w:tcPr>
            <w:tcW w:w="1486" w:type="dxa"/>
            <w:tcBorders>
              <w:top w:val="nil"/>
              <w:left w:val="nil"/>
              <w:bottom w:val="single" w:sz="4" w:space="0" w:color="000080"/>
              <w:right w:val="single" w:sz="4" w:space="0" w:color="000080"/>
            </w:tcBorders>
            <w:shd w:val="clear" w:color="auto" w:fill="auto"/>
            <w:noWrap/>
            <w:vAlign w:val="center"/>
            <w:hideMark/>
          </w:tcPr>
          <w:p w:rsidR="0035337C" w:rsidRPr="00D649F0" w:rsidRDefault="0035337C" w:rsidP="0035337C">
            <w:pPr>
              <w:spacing w:after="0" w:line="240" w:lineRule="auto"/>
              <w:jc w:val="right"/>
              <w:rPr>
                <w:rFonts w:ascii="Arial" w:eastAsia="Times New Roman" w:hAnsi="Arial" w:cs="Arial"/>
                <w:color w:val="000000"/>
                <w:sz w:val="16"/>
                <w:szCs w:val="16"/>
                <w:lang w:eastAsia="hr-HR"/>
              </w:rPr>
            </w:pPr>
            <w:r w:rsidRPr="00D649F0">
              <w:rPr>
                <w:rFonts w:ascii="Arial" w:eastAsia="Times New Roman" w:hAnsi="Arial" w:cs="Arial"/>
                <w:color w:val="000000"/>
                <w:sz w:val="16"/>
                <w:szCs w:val="16"/>
                <w:lang w:eastAsia="hr-HR"/>
              </w:rPr>
              <w:t>1,161</w:t>
            </w:r>
          </w:p>
        </w:tc>
        <w:tc>
          <w:tcPr>
            <w:tcW w:w="1559" w:type="dxa"/>
            <w:tcBorders>
              <w:top w:val="nil"/>
              <w:left w:val="nil"/>
              <w:bottom w:val="single" w:sz="4" w:space="0" w:color="000080"/>
              <w:right w:val="single" w:sz="4" w:space="0" w:color="000080"/>
            </w:tcBorders>
            <w:shd w:val="clear" w:color="auto" w:fill="auto"/>
            <w:noWrap/>
            <w:vAlign w:val="center"/>
            <w:hideMark/>
          </w:tcPr>
          <w:p w:rsidR="0035337C" w:rsidRPr="00D649F0" w:rsidRDefault="0035337C" w:rsidP="0035337C">
            <w:pPr>
              <w:spacing w:after="0" w:line="240" w:lineRule="auto"/>
              <w:jc w:val="right"/>
              <w:rPr>
                <w:rFonts w:ascii="Arial" w:eastAsia="Times New Roman" w:hAnsi="Arial" w:cs="Arial"/>
                <w:color w:val="000000"/>
                <w:sz w:val="16"/>
                <w:szCs w:val="16"/>
                <w:lang w:eastAsia="hr-HR"/>
              </w:rPr>
            </w:pPr>
            <w:r w:rsidRPr="00D649F0">
              <w:rPr>
                <w:rFonts w:ascii="Arial" w:eastAsia="Times New Roman" w:hAnsi="Arial" w:cs="Arial"/>
                <w:color w:val="000000"/>
                <w:sz w:val="16"/>
                <w:szCs w:val="16"/>
                <w:lang w:eastAsia="hr-HR"/>
              </w:rPr>
              <w:t>13,157</w:t>
            </w:r>
          </w:p>
        </w:tc>
        <w:tc>
          <w:tcPr>
            <w:tcW w:w="1418" w:type="dxa"/>
            <w:tcBorders>
              <w:top w:val="nil"/>
              <w:left w:val="nil"/>
              <w:bottom w:val="single" w:sz="4" w:space="0" w:color="000080"/>
              <w:right w:val="single" w:sz="4" w:space="0" w:color="000080"/>
            </w:tcBorders>
            <w:shd w:val="clear" w:color="auto" w:fill="auto"/>
            <w:noWrap/>
            <w:vAlign w:val="center"/>
            <w:hideMark/>
          </w:tcPr>
          <w:p w:rsidR="0035337C" w:rsidRPr="00D649F0" w:rsidRDefault="005B329A" w:rsidP="0035337C">
            <w:pPr>
              <w:spacing w:after="0" w:line="240" w:lineRule="auto"/>
              <w:jc w:val="right"/>
              <w:rPr>
                <w:rFonts w:ascii="Arial" w:eastAsia="Times New Roman" w:hAnsi="Arial" w:cs="Arial"/>
                <w:color w:val="000000"/>
                <w:sz w:val="16"/>
                <w:szCs w:val="16"/>
                <w:lang w:eastAsia="hr-HR"/>
              </w:rPr>
            </w:pPr>
            <w:r w:rsidRPr="00D649F0">
              <w:rPr>
                <w:rFonts w:ascii="Arial" w:eastAsia="Times New Roman" w:hAnsi="Arial" w:cs="Arial"/>
                <w:color w:val="000000"/>
                <w:sz w:val="16"/>
                <w:szCs w:val="16"/>
                <w:lang w:eastAsia="hr-HR"/>
              </w:rPr>
              <w:t>0</w:t>
            </w:r>
            <w:r w:rsidR="0035337C" w:rsidRPr="00D649F0">
              <w:rPr>
                <w:rFonts w:ascii="Arial" w:eastAsia="Times New Roman" w:hAnsi="Arial" w:cs="Arial"/>
                <w:color w:val="000000"/>
                <w:sz w:val="16"/>
                <w:szCs w:val="16"/>
                <w:lang w:eastAsia="hr-HR"/>
              </w:rPr>
              <w:t>,09</w:t>
            </w:r>
            <w:r w:rsidRPr="00D649F0">
              <w:rPr>
                <w:rFonts w:ascii="Arial" w:eastAsia="Times New Roman" w:hAnsi="Arial" w:cs="Arial"/>
                <w:color w:val="000000"/>
                <w:sz w:val="16"/>
                <w:szCs w:val="16"/>
                <w:lang w:eastAsia="hr-HR"/>
              </w:rPr>
              <w:t>0</w:t>
            </w:r>
          </w:p>
        </w:tc>
        <w:tc>
          <w:tcPr>
            <w:tcW w:w="1340" w:type="dxa"/>
            <w:tcBorders>
              <w:top w:val="nil"/>
              <w:left w:val="nil"/>
              <w:bottom w:val="single" w:sz="4" w:space="0" w:color="000080"/>
              <w:right w:val="single" w:sz="4" w:space="0" w:color="000080"/>
            </w:tcBorders>
            <w:shd w:val="clear" w:color="auto" w:fill="auto"/>
            <w:noWrap/>
            <w:vAlign w:val="center"/>
            <w:hideMark/>
          </w:tcPr>
          <w:p w:rsidR="0035337C" w:rsidRPr="00D649F0" w:rsidRDefault="005B329A" w:rsidP="0035337C">
            <w:pPr>
              <w:spacing w:after="0" w:line="240" w:lineRule="auto"/>
              <w:jc w:val="right"/>
              <w:rPr>
                <w:rFonts w:ascii="Arial" w:eastAsia="Times New Roman" w:hAnsi="Arial" w:cs="Arial"/>
                <w:color w:val="000000"/>
                <w:sz w:val="16"/>
                <w:szCs w:val="16"/>
                <w:lang w:eastAsia="hr-HR"/>
              </w:rPr>
            </w:pPr>
            <w:r w:rsidRPr="00D649F0">
              <w:rPr>
                <w:rFonts w:ascii="Arial" w:eastAsia="Times New Roman" w:hAnsi="Arial" w:cs="Arial"/>
                <w:color w:val="000000"/>
                <w:sz w:val="16"/>
                <w:szCs w:val="16"/>
                <w:lang w:eastAsia="hr-HR"/>
              </w:rPr>
              <w:t>0</w:t>
            </w:r>
            <w:r w:rsidR="0035337C" w:rsidRPr="00D649F0">
              <w:rPr>
                <w:rFonts w:ascii="Arial" w:eastAsia="Times New Roman" w:hAnsi="Arial" w:cs="Arial"/>
                <w:color w:val="000000"/>
                <w:sz w:val="16"/>
                <w:szCs w:val="16"/>
                <w:lang w:eastAsia="hr-HR"/>
              </w:rPr>
              <w:t>,296</w:t>
            </w:r>
          </w:p>
        </w:tc>
      </w:tr>
    </w:tbl>
    <w:p w:rsidR="00940578" w:rsidRPr="00FA7F54" w:rsidRDefault="00940578" w:rsidP="0014593E">
      <w:pPr>
        <w:spacing w:after="0" w:line="240" w:lineRule="auto"/>
        <w:rPr>
          <w:rFonts w:ascii="Times New Roman" w:hAnsi="Times New Roman" w:cs="Times New Roman"/>
        </w:rPr>
      </w:pPr>
    </w:p>
    <w:p w:rsidR="00BA253A" w:rsidRPr="00FA7F54" w:rsidRDefault="00BA253A" w:rsidP="00BA253A">
      <w:pPr>
        <w:shd w:val="clear" w:color="auto" w:fill="FFFFFF"/>
        <w:spacing w:after="0" w:line="240" w:lineRule="auto"/>
        <w:ind w:firstLine="360"/>
        <w:jc w:val="both"/>
        <w:rPr>
          <w:rFonts w:ascii="Times New Roman" w:hAnsi="Times New Roman" w:cs="Times New Roman"/>
          <w:u w:val="single"/>
        </w:rPr>
      </w:pPr>
      <w:r w:rsidRPr="00FA7F54">
        <w:rPr>
          <w:rFonts w:ascii="Times New Roman" w:hAnsi="Times New Roman" w:cs="Times New Roman"/>
          <w:u w:val="single"/>
        </w:rPr>
        <w:t>Mjere za smanjenje odnosno optimizaciju rashoda:</w:t>
      </w:r>
    </w:p>
    <w:p w:rsidR="00963BEB" w:rsidRDefault="00BA253A" w:rsidP="005815C2">
      <w:pPr>
        <w:pStyle w:val="Odlomakpopisa"/>
        <w:numPr>
          <w:ilvl w:val="0"/>
          <w:numId w:val="5"/>
        </w:numPr>
        <w:spacing w:line="240" w:lineRule="auto"/>
        <w:ind w:left="0" w:firstLine="426"/>
        <w:jc w:val="both"/>
        <w:rPr>
          <w:rFonts w:ascii="Times New Roman" w:hAnsi="Times New Roman" w:cs="Times New Roman"/>
        </w:rPr>
      </w:pPr>
      <w:r w:rsidRPr="00FA7F54">
        <w:rPr>
          <w:rFonts w:ascii="Times New Roman" w:hAnsi="Times New Roman" w:cs="Times New Roman"/>
        </w:rPr>
        <w:t xml:space="preserve">Procjena </w:t>
      </w:r>
      <w:r w:rsidRPr="00FA7F54">
        <w:rPr>
          <w:rFonts w:ascii="Times New Roman" w:eastAsia="Times New Roman" w:hAnsi="Times New Roman"/>
          <w:lang w:eastAsia="hr-HR"/>
        </w:rPr>
        <w:t>učinkovitog i djelotvornog funkcioniranja sustava financijskog upravljanja i kontrola</w:t>
      </w:r>
      <w:r w:rsidR="00A23C18" w:rsidRPr="00FA7F54">
        <w:rPr>
          <w:rFonts w:ascii="Times New Roman" w:hAnsi="Times New Roman" w:cs="Times New Roman"/>
        </w:rPr>
        <w:t>:</w:t>
      </w:r>
      <w:r w:rsidR="003D2CEA">
        <w:rPr>
          <w:rFonts w:ascii="Times New Roman" w:hAnsi="Times New Roman" w:cs="Times New Roman"/>
        </w:rPr>
        <w:t xml:space="preserve"> izračun prosječnih troškova po</w:t>
      </w:r>
      <w:r w:rsidRPr="00FA7F54">
        <w:rPr>
          <w:rFonts w:ascii="Times New Roman" w:hAnsi="Times New Roman" w:cs="Times New Roman"/>
        </w:rPr>
        <w:t xml:space="preserve"> </w:t>
      </w:r>
      <w:r w:rsidR="003D2CEA">
        <w:rPr>
          <w:rFonts w:ascii="Times New Roman" w:hAnsi="Times New Roman" w:cs="Times New Roman"/>
        </w:rPr>
        <w:t>transportnom sredstvu</w:t>
      </w:r>
      <w:r w:rsidR="002D1033">
        <w:rPr>
          <w:rFonts w:ascii="Times New Roman" w:hAnsi="Times New Roman" w:cs="Times New Roman"/>
        </w:rPr>
        <w:t xml:space="preserve"> u vlasništvu i na </w:t>
      </w:r>
      <w:proofErr w:type="spellStart"/>
      <w:r w:rsidR="002D1033">
        <w:rPr>
          <w:rFonts w:ascii="Times New Roman" w:hAnsi="Times New Roman" w:cs="Times New Roman"/>
        </w:rPr>
        <w:t>leasing</w:t>
      </w:r>
      <w:proofErr w:type="spellEnd"/>
      <w:r w:rsidR="007208A7" w:rsidRPr="00FA7F54">
        <w:rPr>
          <w:rFonts w:ascii="Times New Roman" w:hAnsi="Times New Roman" w:cs="Times New Roman"/>
        </w:rPr>
        <w:t xml:space="preserve"> (</w:t>
      </w:r>
      <w:r w:rsidR="005C39D6" w:rsidRPr="00FA7F54">
        <w:rPr>
          <w:rFonts w:ascii="Times New Roman" w:hAnsi="Times New Roman" w:cs="Times New Roman"/>
        </w:rPr>
        <w:t>prosječni troškovi po vozilu za materijal i dijelov</w:t>
      </w:r>
      <w:r w:rsidR="00C90564" w:rsidRPr="00FA7F54">
        <w:rPr>
          <w:rFonts w:ascii="Times New Roman" w:hAnsi="Times New Roman" w:cs="Times New Roman"/>
        </w:rPr>
        <w:t>e</w:t>
      </w:r>
      <w:r w:rsidR="005C39D6" w:rsidRPr="00FA7F54">
        <w:rPr>
          <w:rFonts w:ascii="Times New Roman" w:hAnsi="Times New Roman" w:cs="Times New Roman"/>
        </w:rPr>
        <w:t xml:space="preserve"> za tekuće i investicijsko održavanje transportnih sredstava, auto gume, usluge tekućeg i investicijskog o</w:t>
      </w:r>
      <w:r w:rsidR="006C5A0A">
        <w:rPr>
          <w:rFonts w:ascii="Times New Roman" w:hAnsi="Times New Roman" w:cs="Times New Roman"/>
        </w:rPr>
        <w:t>državanja prijevoznih sredstava</w:t>
      </w:r>
      <w:r w:rsidR="00991AAA">
        <w:rPr>
          <w:rFonts w:ascii="Times New Roman" w:hAnsi="Times New Roman" w:cs="Times New Roman"/>
        </w:rPr>
        <w:t>, usluge pri registraciji prijevoznih sredstava</w:t>
      </w:r>
      <w:r w:rsidR="006C5A0A">
        <w:rPr>
          <w:rFonts w:ascii="Times New Roman" w:hAnsi="Times New Roman" w:cs="Times New Roman"/>
        </w:rPr>
        <w:t xml:space="preserve"> i</w:t>
      </w:r>
      <w:r w:rsidR="005C39D6" w:rsidRPr="00FA7F54">
        <w:rPr>
          <w:rFonts w:ascii="Times New Roman" w:hAnsi="Times New Roman" w:cs="Times New Roman"/>
        </w:rPr>
        <w:t xml:space="preserve"> premije osiguranja prijevoznih sredstava).</w:t>
      </w:r>
      <w:r w:rsidRPr="00FA7F54">
        <w:rPr>
          <w:rFonts w:ascii="Times New Roman" w:hAnsi="Times New Roman" w:cs="Times New Roman"/>
        </w:rPr>
        <w:t xml:space="preserve"> </w:t>
      </w:r>
    </w:p>
    <w:p w:rsidR="00AD63ED" w:rsidRPr="002E0472" w:rsidRDefault="00AD63ED" w:rsidP="005815C2">
      <w:pPr>
        <w:pStyle w:val="Odlomakpopisa"/>
        <w:numPr>
          <w:ilvl w:val="0"/>
          <w:numId w:val="5"/>
        </w:numPr>
        <w:spacing w:line="240" w:lineRule="auto"/>
        <w:ind w:left="0" w:firstLine="426"/>
        <w:jc w:val="both"/>
        <w:rPr>
          <w:rFonts w:ascii="Times New Roman" w:hAnsi="Times New Roman" w:cs="Times New Roman"/>
        </w:rPr>
      </w:pPr>
      <w:r w:rsidRPr="002E0472">
        <w:rPr>
          <w:rFonts w:ascii="Times New Roman" w:hAnsi="Times New Roman" w:cs="Times New Roman"/>
        </w:rPr>
        <w:t>U radnoj skupini prezentirati primjere dobre prakse upravljanja troškovima transportnih sredstava.</w:t>
      </w:r>
    </w:p>
    <w:p w:rsidR="00963BEB" w:rsidRDefault="002C6224" w:rsidP="002E0472">
      <w:pPr>
        <w:pStyle w:val="Odlomakpopisa"/>
        <w:numPr>
          <w:ilvl w:val="0"/>
          <w:numId w:val="5"/>
        </w:numPr>
        <w:spacing w:line="240" w:lineRule="auto"/>
        <w:ind w:left="0" w:firstLine="426"/>
        <w:jc w:val="both"/>
        <w:rPr>
          <w:rFonts w:ascii="Times New Roman" w:hAnsi="Times New Roman" w:cs="Times New Roman"/>
        </w:rPr>
      </w:pPr>
      <w:r w:rsidRPr="00FA7F54">
        <w:rPr>
          <w:rFonts w:ascii="Times New Roman" w:hAnsi="Times New Roman" w:cs="Times New Roman"/>
        </w:rPr>
        <w:t xml:space="preserve">Procjena </w:t>
      </w:r>
      <w:r w:rsidRPr="00FA7F54">
        <w:rPr>
          <w:rFonts w:ascii="Times New Roman" w:eastAsia="Times New Roman" w:hAnsi="Times New Roman"/>
          <w:lang w:eastAsia="hr-HR"/>
        </w:rPr>
        <w:t>učinkovitog i djelotvornog funkcioniranja sustava financijskog upravljanja i kontrola</w:t>
      </w:r>
      <w:r w:rsidR="00A23C18" w:rsidRPr="00FA7F54">
        <w:rPr>
          <w:rFonts w:ascii="Times New Roman" w:hAnsi="Times New Roman" w:cs="Times New Roman"/>
        </w:rPr>
        <w:t>:</w:t>
      </w:r>
      <w:r w:rsidRPr="00FA7F54">
        <w:rPr>
          <w:rFonts w:ascii="Times New Roman" w:hAnsi="Times New Roman" w:cs="Times New Roman"/>
        </w:rPr>
        <w:t xml:space="preserve"> izračun prosječnih troškova za održavanje građevinskih objekata (prosječni troškovi po m</w:t>
      </w:r>
      <w:r w:rsidR="0021182F">
        <w:rPr>
          <w:rFonts w:ascii="Times New Roman" w:hAnsi="Times New Roman" w:cs="Times New Roman"/>
          <w:vertAlign w:val="superscript"/>
        </w:rPr>
        <w:t>2</w:t>
      </w:r>
      <w:r w:rsidRPr="00FA7F54">
        <w:rPr>
          <w:rFonts w:ascii="Times New Roman" w:hAnsi="Times New Roman" w:cs="Times New Roman"/>
        </w:rPr>
        <w:t xml:space="preserve"> za materijal i dijelov</w:t>
      </w:r>
      <w:r w:rsidR="0021182F">
        <w:rPr>
          <w:rFonts w:ascii="Times New Roman" w:hAnsi="Times New Roman" w:cs="Times New Roman"/>
        </w:rPr>
        <w:t>e</w:t>
      </w:r>
      <w:r w:rsidRPr="00FA7F54">
        <w:rPr>
          <w:rFonts w:ascii="Times New Roman" w:hAnsi="Times New Roman" w:cs="Times New Roman"/>
        </w:rPr>
        <w:t xml:space="preserve"> za tekuće i investicijsko održavanje građevinskih objekata i usluge tekućeg i investicijskog održavanja građevinskih objekata).</w:t>
      </w:r>
      <w:r w:rsidR="002A124A" w:rsidRPr="00FA7F54">
        <w:rPr>
          <w:rFonts w:ascii="Times New Roman" w:hAnsi="Times New Roman" w:cs="Times New Roman"/>
        </w:rPr>
        <w:t xml:space="preserve"> </w:t>
      </w:r>
    </w:p>
    <w:p w:rsidR="00BA253A" w:rsidRPr="00D94A69" w:rsidRDefault="00D94A69" w:rsidP="002E0472">
      <w:pPr>
        <w:pStyle w:val="Odlomakpopisa"/>
        <w:numPr>
          <w:ilvl w:val="0"/>
          <w:numId w:val="5"/>
        </w:numPr>
        <w:spacing w:line="240" w:lineRule="auto"/>
        <w:ind w:left="0" w:firstLine="360"/>
        <w:jc w:val="both"/>
        <w:rPr>
          <w:rFonts w:ascii="Times New Roman" w:hAnsi="Times New Roman" w:cs="Times New Roman"/>
        </w:rPr>
      </w:pPr>
      <w:r w:rsidRPr="00D94A69">
        <w:rPr>
          <w:rFonts w:ascii="Times New Roman" w:hAnsi="Times New Roman" w:cs="Times New Roman"/>
        </w:rPr>
        <w:t>U</w:t>
      </w:r>
      <w:r w:rsidR="00A63220" w:rsidRPr="00D94A69">
        <w:rPr>
          <w:rFonts w:ascii="Times New Roman" w:hAnsi="Times New Roman" w:cs="Times New Roman"/>
        </w:rPr>
        <w:t xml:space="preserve"> radnoj skupini prezentirati primjere dobre prakse održavanja građevinskih objekata i opcije jednokratnog investicijskog ulaganja kojim se poboljšava kvaliteta uredskih prostora i smanjuje godišnji trošak energenata i održavanja</w:t>
      </w:r>
      <w:r w:rsidR="00C90564" w:rsidRPr="00D94A69">
        <w:rPr>
          <w:rFonts w:ascii="Times New Roman" w:hAnsi="Times New Roman" w:cs="Times New Roman"/>
        </w:rPr>
        <w:t>, s osobitim naglaskom na povećanje energetske učinkovitosti</w:t>
      </w:r>
      <w:r w:rsidR="00266275" w:rsidRPr="00D94A69">
        <w:rPr>
          <w:rFonts w:ascii="Times New Roman" w:hAnsi="Times New Roman" w:cs="Times New Roman"/>
        </w:rPr>
        <w:t xml:space="preserve"> (stavljanje </w:t>
      </w:r>
      <w:proofErr w:type="spellStart"/>
      <w:r w:rsidR="00266275" w:rsidRPr="00D94A69">
        <w:rPr>
          <w:rFonts w:ascii="Times New Roman" w:hAnsi="Times New Roman" w:cs="Times New Roman"/>
        </w:rPr>
        <w:t>pvc</w:t>
      </w:r>
      <w:proofErr w:type="spellEnd"/>
      <w:r w:rsidR="00C90564" w:rsidRPr="00D94A69">
        <w:rPr>
          <w:rFonts w:ascii="Times New Roman" w:hAnsi="Times New Roman" w:cs="Times New Roman"/>
        </w:rPr>
        <w:t xml:space="preserve"> prozora, </w:t>
      </w:r>
      <w:proofErr w:type="spellStart"/>
      <w:r w:rsidR="00C90564" w:rsidRPr="00D94A69">
        <w:rPr>
          <w:rFonts w:ascii="Times New Roman" w:hAnsi="Times New Roman" w:cs="Times New Roman"/>
        </w:rPr>
        <w:t>termoizolacijskih</w:t>
      </w:r>
      <w:proofErr w:type="spellEnd"/>
      <w:r w:rsidR="00C90564" w:rsidRPr="00D94A69">
        <w:rPr>
          <w:rFonts w:ascii="Times New Roman" w:hAnsi="Times New Roman" w:cs="Times New Roman"/>
        </w:rPr>
        <w:t xml:space="preserve"> fasada i slično)</w:t>
      </w:r>
      <w:r w:rsidR="00A63220" w:rsidRPr="00D94A69">
        <w:rPr>
          <w:rFonts w:ascii="Times New Roman" w:hAnsi="Times New Roman" w:cs="Times New Roman"/>
        </w:rPr>
        <w:t>.</w:t>
      </w:r>
    </w:p>
    <w:p w:rsidR="0042465F" w:rsidRPr="00FA7F54" w:rsidRDefault="0042465F" w:rsidP="0042465F">
      <w:pPr>
        <w:pStyle w:val="Naslov2"/>
        <w:rPr>
          <w:rFonts w:ascii="Times New Roman" w:hAnsi="Times New Roman" w:cs="Times New Roman"/>
          <w:color w:val="auto"/>
          <w:sz w:val="22"/>
          <w:szCs w:val="22"/>
        </w:rPr>
      </w:pPr>
      <w:bookmarkStart w:id="56" w:name="_Toc434411184"/>
      <w:bookmarkStart w:id="57" w:name="_Toc436402327"/>
      <w:r w:rsidRPr="00FA7F54">
        <w:rPr>
          <w:rFonts w:ascii="Times New Roman" w:hAnsi="Times New Roman" w:cs="Times New Roman"/>
          <w:color w:val="auto"/>
          <w:sz w:val="22"/>
          <w:szCs w:val="22"/>
        </w:rPr>
        <w:t>SITNI INVENTAR I AUTO GUME (3225)</w:t>
      </w:r>
      <w:bookmarkEnd w:id="56"/>
      <w:bookmarkEnd w:id="57"/>
    </w:p>
    <w:p w:rsidR="00A80566" w:rsidRPr="00FA7F54" w:rsidRDefault="00A80566" w:rsidP="0014593E">
      <w:pPr>
        <w:spacing w:after="0" w:line="240" w:lineRule="auto"/>
        <w:jc w:val="both"/>
        <w:rPr>
          <w:rFonts w:ascii="Times New Roman" w:hAnsi="Times New Roman" w:cs="Times New Roman"/>
        </w:rPr>
      </w:pPr>
      <w:r w:rsidRPr="00FA7F54">
        <w:rPr>
          <w:rFonts w:ascii="Times New Roman" w:hAnsi="Times New Roman" w:cs="Times New Roman"/>
        </w:rPr>
        <w:t>Prema iskazanim podacima u financijskim izvještajima rashodi za sitni inventar i auto gume u 2013. godini iznosili su 57,3 mil. kuna, a u 2014. godini 58,0 mil. kuna. U državnom proračunu za</w:t>
      </w:r>
      <w:r w:rsidR="005C2886" w:rsidRPr="00FA7F54">
        <w:rPr>
          <w:rFonts w:ascii="Times New Roman" w:hAnsi="Times New Roman" w:cs="Times New Roman"/>
        </w:rPr>
        <w:t xml:space="preserve"> 2015. godinu planirano je 39,1</w:t>
      </w:r>
      <w:r w:rsidRPr="00FA7F54">
        <w:rPr>
          <w:rFonts w:ascii="Times New Roman" w:hAnsi="Times New Roman" w:cs="Times New Roman"/>
        </w:rPr>
        <w:t xml:space="preserve"> mil. kuna navedenih rashoda </w:t>
      </w:r>
      <w:r w:rsidR="005C2886" w:rsidRPr="00FA7F54">
        <w:rPr>
          <w:rFonts w:ascii="Times New Roman" w:hAnsi="Times New Roman" w:cs="Times New Roman"/>
        </w:rPr>
        <w:t>od čega se 26,8</w:t>
      </w:r>
      <w:r w:rsidRPr="00FA7F54">
        <w:rPr>
          <w:rFonts w:ascii="Times New Roman" w:hAnsi="Times New Roman" w:cs="Times New Roman"/>
        </w:rPr>
        <w:t xml:space="preserve"> mil. </w:t>
      </w:r>
      <w:r w:rsidR="007906B2">
        <w:rPr>
          <w:rFonts w:ascii="Times New Roman" w:hAnsi="Times New Roman" w:cs="Times New Roman"/>
        </w:rPr>
        <w:t xml:space="preserve">kuna </w:t>
      </w:r>
      <w:r w:rsidRPr="00FA7F54">
        <w:rPr>
          <w:rFonts w:ascii="Times New Roman" w:hAnsi="Times New Roman" w:cs="Times New Roman"/>
        </w:rPr>
        <w:t>financira iz izvora u limitu.</w:t>
      </w:r>
    </w:p>
    <w:p w:rsidR="009F69BF" w:rsidRDefault="009F69BF" w:rsidP="0014593E">
      <w:pPr>
        <w:spacing w:after="0" w:line="240" w:lineRule="auto"/>
        <w:jc w:val="both"/>
        <w:rPr>
          <w:rFonts w:ascii="Times New Roman" w:hAnsi="Times New Roman" w:cs="Times New Roman"/>
        </w:rPr>
      </w:pPr>
    </w:p>
    <w:p w:rsidR="00A80566" w:rsidRDefault="00A80566" w:rsidP="0014593E">
      <w:pPr>
        <w:spacing w:after="0" w:line="240" w:lineRule="auto"/>
        <w:jc w:val="both"/>
        <w:rPr>
          <w:rFonts w:ascii="Times New Roman" w:hAnsi="Times New Roman" w:cs="Times New Roman"/>
        </w:rPr>
      </w:pPr>
      <w:r w:rsidRPr="00FA7F54">
        <w:rPr>
          <w:rFonts w:ascii="Times New Roman" w:hAnsi="Times New Roman" w:cs="Times New Roman"/>
        </w:rPr>
        <w:t>Najveći dio rashoda odnosi se na tijela izvršne vlasti (MUP</w:t>
      </w:r>
      <w:r w:rsidR="00AE54AA" w:rsidRPr="00FA7F54">
        <w:rPr>
          <w:rFonts w:ascii="Times New Roman" w:hAnsi="Times New Roman" w:cs="Times New Roman"/>
        </w:rPr>
        <w:t>, MORH, Porezna uprava, Carinska uprava</w:t>
      </w:r>
      <w:r w:rsidRPr="00FA7F54">
        <w:rPr>
          <w:rFonts w:ascii="Times New Roman" w:hAnsi="Times New Roman" w:cs="Times New Roman"/>
        </w:rPr>
        <w:t>) koji se u najvećem dijelu financiraju iz izvora u limitu.</w:t>
      </w:r>
      <w:r w:rsidR="009F69BF">
        <w:rPr>
          <w:rFonts w:ascii="Times New Roman" w:hAnsi="Times New Roman" w:cs="Times New Roman"/>
        </w:rPr>
        <w:t xml:space="preserve"> Povećani troškovi sitnog inventara u odnosu na prosječne mjesečne troškove svih korisnika razvidni su kod agencija, ustanova u kulturi, ostalih državnih tijela i Ureda predsjednika, a koji se većim dijelom financiraju iz državnog proračuna.</w:t>
      </w:r>
    </w:p>
    <w:p w:rsidR="00CA6688" w:rsidRDefault="00CA6688" w:rsidP="003D68ED">
      <w:pPr>
        <w:pStyle w:val="Opisslike"/>
        <w:spacing w:after="0"/>
        <w:rPr>
          <w:sz w:val="20"/>
          <w:szCs w:val="20"/>
        </w:rPr>
      </w:pPr>
    </w:p>
    <w:p w:rsidR="00581FE5" w:rsidRDefault="00581FE5" w:rsidP="006B7B79">
      <w:pPr>
        <w:pStyle w:val="Opisslike"/>
        <w:spacing w:after="0"/>
        <w:jc w:val="both"/>
        <w:rPr>
          <w:rFonts w:ascii="Times New Roman" w:hAnsi="Times New Roman" w:cs="Times New Roman"/>
          <w:sz w:val="20"/>
          <w:szCs w:val="20"/>
        </w:rPr>
      </w:pPr>
    </w:p>
    <w:p w:rsidR="00581FE5" w:rsidRDefault="00581FE5" w:rsidP="006B7B79">
      <w:pPr>
        <w:pStyle w:val="Opisslike"/>
        <w:spacing w:after="0"/>
        <w:jc w:val="both"/>
        <w:rPr>
          <w:rFonts w:ascii="Times New Roman" w:hAnsi="Times New Roman" w:cs="Times New Roman"/>
          <w:sz w:val="20"/>
          <w:szCs w:val="20"/>
        </w:rPr>
      </w:pPr>
    </w:p>
    <w:p w:rsidR="00581FE5" w:rsidRDefault="00581FE5" w:rsidP="006B7B79">
      <w:pPr>
        <w:pStyle w:val="Opisslike"/>
        <w:spacing w:after="0"/>
        <w:jc w:val="both"/>
        <w:rPr>
          <w:rFonts w:ascii="Times New Roman" w:hAnsi="Times New Roman" w:cs="Times New Roman"/>
          <w:sz w:val="20"/>
          <w:szCs w:val="20"/>
        </w:rPr>
      </w:pPr>
    </w:p>
    <w:p w:rsidR="00581FE5" w:rsidRDefault="00581FE5" w:rsidP="006B7B79">
      <w:pPr>
        <w:pStyle w:val="Opisslike"/>
        <w:spacing w:after="0"/>
        <w:jc w:val="both"/>
        <w:rPr>
          <w:rFonts w:ascii="Times New Roman" w:hAnsi="Times New Roman" w:cs="Times New Roman"/>
          <w:sz w:val="20"/>
          <w:szCs w:val="20"/>
        </w:rPr>
      </w:pPr>
    </w:p>
    <w:p w:rsidR="00581FE5" w:rsidRDefault="00581FE5" w:rsidP="006B7B79">
      <w:pPr>
        <w:pStyle w:val="Opisslike"/>
        <w:spacing w:after="0"/>
        <w:jc w:val="both"/>
        <w:rPr>
          <w:rFonts w:ascii="Times New Roman" w:hAnsi="Times New Roman" w:cs="Times New Roman"/>
          <w:sz w:val="20"/>
          <w:szCs w:val="20"/>
        </w:rPr>
      </w:pPr>
    </w:p>
    <w:p w:rsidR="00581FE5" w:rsidRDefault="00581FE5" w:rsidP="006B7B79">
      <w:pPr>
        <w:pStyle w:val="Opisslike"/>
        <w:spacing w:after="0"/>
        <w:jc w:val="both"/>
        <w:rPr>
          <w:rFonts w:ascii="Times New Roman" w:hAnsi="Times New Roman" w:cs="Times New Roman"/>
          <w:sz w:val="20"/>
          <w:szCs w:val="20"/>
        </w:rPr>
      </w:pPr>
    </w:p>
    <w:p w:rsidR="00581FE5" w:rsidRDefault="00581FE5" w:rsidP="006B7B79">
      <w:pPr>
        <w:pStyle w:val="Opisslike"/>
        <w:spacing w:after="0"/>
        <w:jc w:val="both"/>
        <w:rPr>
          <w:rFonts w:ascii="Times New Roman" w:hAnsi="Times New Roman" w:cs="Times New Roman"/>
          <w:sz w:val="20"/>
          <w:szCs w:val="20"/>
        </w:rPr>
      </w:pPr>
    </w:p>
    <w:p w:rsidR="00581FE5" w:rsidRDefault="00581FE5" w:rsidP="006B7B79">
      <w:pPr>
        <w:pStyle w:val="Opisslike"/>
        <w:spacing w:after="0"/>
        <w:jc w:val="both"/>
        <w:rPr>
          <w:rFonts w:ascii="Times New Roman" w:hAnsi="Times New Roman" w:cs="Times New Roman"/>
          <w:sz w:val="20"/>
          <w:szCs w:val="20"/>
        </w:rPr>
      </w:pPr>
    </w:p>
    <w:p w:rsidR="00581FE5" w:rsidRDefault="00581FE5" w:rsidP="006B7B79">
      <w:pPr>
        <w:pStyle w:val="Opisslike"/>
        <w:spacing w:after="0"/>
        <w:jc w:val="both"/>
        <w:rPr>
          <w:rFonts w:ascii="Times New Roman" w:hAnsi="Times New Roman" w:cs="Times New Roman"/>
          <w:sz w:val="20"/>
          <w:szCs w:val="20"/>
        </w:rPr>
      </w:pPr>
    </w:p>
    <w:p w:rsidR="00581FE5" w:rsidRDefault="00581FE5" w:rsidP="006B7B79">
      <w:pPr>
        <w:pStyle w:val="Opisslike"/>
        <w:spacing w:after="0"/>
        <w:jc w:val="both"/>
        <w:rPr>
          <w:rFonts w:ascii="Times New Roman" w:hAnsi="Times New Roman" w:cs="Times New Roman"/>
          <w:sz w:val="20"/>
          <w:szCs w:val="20"/>
        </w:rPr>
      </w:pPr>
    </w:p>
    <w:p w:rsidR="00581FE5" w:rsidRDefault="00581FE5" w:rsidP="006B7B79">
      <w:pPr>
        <w:pStyle w:val="Opisslike"/>
        <w:spacing w:after="0"/>
        <w:jc w:val="both"/>
        <w:rPr>
          <w:rFonts w:ascii="Times New Roman" w:hAnsi="Times New Roman" w:cs="Times New Roman"/>
          <w:sz w:val="20"/>
          <w:szCs w:val="20"/>
        </w:rPr>
      </w:pPr>
    </w:p>
    <w:p w:rsidR="00940578" w:rsidRPr="007906B2" w:rsidRDefault="009835A2" w:rsidP="006B7B79">
      <w:pPr>
        <w:pStyle w:val="Opisslike"/>
        <w:spacing w:after="0"/>
        <w:jc w:val="both"/>
        <w:rPr>
          <w:rFonts w:ascii="Times New Roman" w:hAnsi="Times New Roman" w:cs="Times New Roman"/>
          <w:sz w:val="20"/>
          <w:szCs w:val="20"/>
        </w:rPr>
      </w:pPr>
      <w:bookmarkStart w:id="58" w:name="_Toc436402274"/>
      <w:r w:rsidRPr="006B7B79">
        <w:rPr>
          <w:rFonts w:ascii="Times New Roman" w:hAnsi="Times New Roman" w:cs="Times New Roman"/>
          <w:sz w:val="20"/>
          <w:szCs w:val="20"/>
        </w:rPr>
        <w:lastRenderedPageBreak/>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27</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 xml:space="preserve">: </w:t>
      </w:r>
      <w:r w:rsidR="003D68ED" w:rsidRPr="006B7B79">
        <w:rPr>
          <w:rFonts w:ascii="Times New Roman" w:hAnsi="Times New Roman" w:cs="Times New Roman"/>
          <w:sz w:val="20"/>
          <w:szCs w:val="20"/>
        </w:rPr>
        <w:t xml:space="preserve">Sitni inventar i auto gume prema podacima iskazanim u financijskim izvještajima proračunskih i izvanproračunskih korisnika za 2013. i 2014. </w:t>
      </w:r>
      <w:r w:rsidR="00D77A91" w:rsidRPr="006B7B79">
        <w:rPr>
          <w:rFonts w:ascii="Times New Roman" w:hAnsi="Times New Roman" w:cs="Times New Roman"/>
          <w:sz w:val="20"/>
          <w:szCs w:val="20"/>
        </w:rPr>
        <w:t>g</w:t>
      </w:r>
      <w:r w:rsidR="003D68ED" w:rsidRPr="006B7B79">
        <w:rPr>
          <w:rFonts w:ascii="Times New Roman" w:hAnsi="Times New Roman" w:cs="Times New Roman"/>
          <w:sz w:val="20"/>
          <w:szCs w:val="20"/>
        </w:rPr>
        <w:t>odinu</w:t>
      </w:r>
      <w:r w:rsidR="00D77A91" w:rsidRPr="006B7B79">
        <w:rPr>
          <w:rFonts w:ascii="Times New Roman" w:hAnsi="Times New Roman" w:cs="Times New Roman"/>
          <w:sz w:val="20"/>
          <w:szCs w:val="20"/>
        </w:rPr>
        <w:t xml:space="preserve"> te planu Državnog proračuna za 2015. godinu</w:t>
      </w:r>
      <w:bookmarkEnd w:id="58"/>
    </w:p>
    <w:p w:rsidR="00940578" w:rsidRPr="00FA7F54" w:rsidRDefault="00456438" w:rsidP="00C83540">
      <w:pPr>
        <w:spacing w:line="240" w:lineRule="auto"/>
        <w:rPr>
          <w:rFonts w:ascii="Times New Roman" w:hAnsi="Times New Roman" w:cs="Times New Roman"/>
        </w:rPr>
      </w:pPr>
      <w:r w:rsidRPr="00456438">
        <w:rPr>
          <w:noProof/>
          <w:lang w:eastAsia="hr-HR"/>
        </w:rPr>
        <w:drawing>
          <wp:inline distT="0" distB="0" distL="0" distR="0" wp14:anchorId="3E779DED" wp14:editId="0DF2607F">
            <wp:extent cx="5760720" cy="3033703"/>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033703"/>
                    </a:xfrm>
                    <a:prstGeom prst="rect">
                      <a:avLst/>
                    </a:prstGeom>
                    <a:noFill/>
                    <a:ln>
                      <a:noFill/>
                    </a:ln>
                  </pic:spPr>
                </pic:pic>
              </a:graphicData>
            </a:graphic>
          </wp:inline>
        </w:drawing>
      </w:r>
    </w:p>
    <w:p w:rsidR="00EB22BF" w:rsidRPr="00FA7F54" w:rsidRDefault="00472712" w:rsidP="00C83540">
      <w:pPr>
        <w:spacing w:line="240" w:lineRule="auto"/>
        <w:rPr>
          <w:rFonts w:ascii="Times New Roman" w:hAnsi="Times New Roman" w:cs="Times New Roman"/>
        </w:rPr>
      </w:pPr>
      <w:r w:rsidRPr="00FA7F54">
        <w:rPr>
          <w:rFonts w:ascii="Times New Roman" w:hAnsi="Times New Roman" w:cs="Times New Roman"/>
        </w:rPr>
        <w:t>Uvidom u rashode za sitni inventar i auto gume evidentirane u državnom proračunu za 2014. godinu razvidno je da se polovina rashoda odnosi na sitni inventar, a polovina na auto gume s time da su auto gume u cijelosti financirane iz izvora u limitu.</w:t>
      </w:r>
    </w:p>
    <w:p w:rsidR="009835A2" w:rsidRPr="007906B2" w:rsidRDefault="009835A2" w:rsidP="006B7B79">
      <w:pPr>
        <w:pStyle w:val="Opisslike"/>
        <w:spacing w:after="0"/>
        <w:jc w:val="both"/>
        <w:rPr>
          <w:rFonts w:ascii="Times New Roman" w:hAnsi="Times New Roman" w:cs="Times New Roman"/>
          <w:sz w:val="20"/>
          <w:szCs w:val="20"/>
        </w:rPr>
      </w:pPr>
      <w:bookmarkStart w:id="59" w:name="_Toc436402275"/>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28</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 xml:space="preserve">: </w:t>
      </w:r>
      <w:r w:rsidR="00AE45B9" w:rsidRPr="006B7B79">
        <w:rPr>
          <w:rFonts w:ascii="Times New Roman" w:hAnsi="Times New Roman" w:cs="Times New Roman"/>
          <w:sz w:val="20"/>
          <w:szCs w:val="20"/>
        </w:rPr>
        <w:t>Sitni inventar i auto gume prema podacima iskazanim u državnom proračunu – izvršenje za 2014. (u mil.</w:t>
      </w:r>
      <w:r w:rsidR="007906B2">
        <w:rPr>
          <w:rFonts w:ascii="Times New Roman" w:hAnsi="Times New Roman" w:cs="Times New Roman"/>
          <w:sz w:val="20"/>
          <w:szCs w:val="20"/>
        </w:rPr>
        <w:t xml:space="preserve"> kuna</w:t>
      </w:r>
      <w:r w:rsidR="00AE45B9" w:rsidRPr="006B7B79">
        <w:rPr>
          <w:rFonts w:ascii="Times New Roman" w:hAnsi="Times New Roman" w:cs="Times New Roman"/>
          <w:sz w:val="20"/>
          <w:szCs w:val="20"/>
        </w:rPr>
        <w:t>)</w:t>
      </w:r>
      <w:bookmarkEnd w:id="59"/>
    </w:p>
    <w:tbl>
      <w:tblPr>
        <w:tblW w:w="5320" w:type="dxa"/>
        <w:jc w:val="center"/>
        <w:tblInd w:w="93" w:type="dxa"/>
        <w:tblLook w:val="04A0" w:firstRow="1" w:lastRow="0" w:firstColumn="1" w:lastColumn="0" w:noHBand="0" w:noVBand="1"/>
      </w:tblPr>
      <w:tblGrid>
        <w:gridCol w:w="1300"/>
        <w:gridCol w:w="1340"/>
        <w:gridCol w:w="1340"/>
        <w:gridCol w:w="1340"/>
      </w:tblGrid>
      <w:tr w:rsidR="00F04379" w:rsidRPr="00AE45B9" w:rsidTr="006B7B79">
        <w:trPr>
          <w:trHeight w:val="855"/>
          <w:jc w:val="center"/>
        </w:trPr>
        <w:tc>
          <w:tcPr>
            <w:tcW w:w="1300"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F04379" w:rsidRPr="00AE45B9" w:rsidRDefault="00F04379" w:rsidP="007906B2">
            <w:pPr>
              <w:spacing w:after="0" w:line="240" w:lineRule="auto"/>
              <w:jc w:val="center"/>
              <w:rPr>
                <w:rFonts w:ascii="Arial" w:eastAsia="Times New Roman" w:hAnsi="Arial" w:cs="Arial"/>
                <w:b/>
                <w:bCs/>
                <w:sz w:val="16"/>
                <w:szCs w:val="16"/>
                <w:lang w:eastAsia="hr-HR"/>
              </w:rPr>
            </w:pPr>
            <w:r w:rsidRPr="00AE45B9">
              <w:rPr>
                <w:rFonts w:ascii="Arial" w:eastAsia="Times New Roman" w:hAnsi="Arial" w:cs="Arial"/>
                <w:b/>
                <w:bCs/>
                <w:sz w:val="16"/>
                <w:szCs w:val="16"/>
                <w:lang w:eastAsia="hr-HR"/>
              </w:rPr>
              <w:t>Izvršenje 2014.</w:t>
            </w:r>
          </w:p>
        </w:tc>
        <w:tc>
          <w:tcPr>
            <w:tcW w:w="1340" w:type="dxa"/>
            <w:tcBorders>
              <w:top w:val="single" w:sz="4" w:space="0" w:color="000080"/>
              <w:left w:val="nil"/>
              <w:bottom w:val="single" w:sz="4" w:space="0" w:color="000080"/>
              <w:right w:val="single" w:sz="4" w:space="0" w:color="000080"/>
            </w:tcBorders>
            <w:shd w:val="clear" w:color="000000" w:fill="DCE6F1"/>
            <w:vAlign w:val="center"/>
            <w:hideMark/>
          </w:tcPr>
          <w:p w:rsidR="00F04379" w:rsidRPr="00AE45B9" w:rsidRDefault="00F04379" w:rsidP="007906B2">
            <w:pPr>
              <w:spacing w:after="0" w:line="240" w:lineRule="auto"/>
              <w:jc w:val="center"/>
              <w:rPr>
                <w:rFonts w:ascii="Arial" w:eastAsia="Times New Roman" w:hAnsi="Arial" w:cs="Arial"/>
                <w:b/>
                <w:bCs/>
                <w:sz w:val="16"/>
                <w:szCs w:val="16"/>
                <w:lang w:eastAsia="hr-HR"/>
              </w:rPr>
            </w:pPr>
            <w:r w:rsidRPr="00AE45B9">
              <w:rPr>
                <w:rFonts w:ascii="Arial" w:eastAsia="Times New Roman" w:hAnsi="Arial" w:cs="Arial"/>
                <w:b/>
                <w:bCs/>
                <w:sz w:val="16"/>
                <w:szCs w:val="16"/>
                <w:lang w:eastAsia="hr-HR"/>
              </w:rPr>
              <w:t>Sitni inventar i auto gume</w:t>
            </w:r>
          </w:p>
        </w:tc>
        <w:tc>
          <w:tcPr>
            <w:tcW w:w="1340" w:type="dxa"/>
            <w:tcBorders>
              <w:top w:val="single" w:sz="4" w:space="0" w:color="000080"/>
              <w:left w:val="nil"/>
              <w:bottom w:val="single" w:sz="4" w:space="0" w:color="000080"/>
              <w:right w:val="single" w:sz="4" w:space="0" w:color="000080"/>
            </w:tcBorders>
            <w:shd w:val="clear" w:color="000000" w:fill="DCE6F1"/>
            <w:noWrap/>
            <w:vAlign w:val="center"/>
            <w:hideMark/>
          </w:tcPr>
          <w:p w:rsidR="00F04379" w:rsidRPr="00AE45B9" w:rsidRDefault="00F04379" w:rsidP="007906B2">
            <w:pPr>
              <w:spacing w:after="0" w:line="240" w:lineRule="auto"/>
              <w:ind w:firstLineChars="100" w:firstLine="160"/>
              <w:jc w:val="center"/>
              <w:rPr>
                <w:rFonts w:ascii="Arial" w:eastAsia="Times New Roman" w:hAnsi="Arial" w:cs="Arial"/>
                <w:sz w:val="16"/>
                <w:szCs w:val="16"/>
                <w:lang w:eastAsia="hr-HR"/>
              </w:rPr>
            </w:pPr>
            <w:r w:rsidRPr="00AE45B9">
              <w:rPr>
                <w:rFonts w:ascii="Arial" w:eastAsia="Times New Roman" w:hAnsi="Arial" w:cs="Arial"/>
                <w:sz w:val="16"/>
                <w:szCs w:val="16"/>
                <w:lang w:eastAsia="hr-HR"/>
              </w:rPr>
              <w:t>Sitni inventar</w:t>
            </w:r>
          </w:p>
        </w:tc>
        <w:tc>
          <w:tcPr>
            <w:tcW w:w="1340" w:type="dxa"/>
            <w:tcBorders>
              <w:top w:val="single" w:sz="4" w:space="0" w:color="000080"/>
              <w:left w:val="nil"/>
              <w:bottom w:val="single" w:sz="4" w:space="0" w:color="000080"/>
              <w:right w:val="single" w:sz="4" w:space="0" w:color="000080"/>
            </w:tcBorders>
            <w:shd w:val="clear" w:color="000000" w:fill="DCE6F1"/>
            <w:noWrap/>
            <w:vAlign w:val="center"/>
            <w:hideMark/>
          </w:tcPr>
          <w:p w:rsidR="00F04379" w:rsidRPr="00AE45B9" w:rsidRDefault="00F04379" w:rsidP="007906B2">
            <w:pPr>
              <w:spacing w:after="0" w:line="240" w:lineRule="auto"/>
              <w:ind w:firstLineChars="100" w:firstLine="160"/>
              <w:jc w:val="center"/>
              <w:rPr>
                <w:rFonts w:ascii="Arial" w:eastAsia="Times New Roman" w:hAnsi="Arial" w:cs="Arial"/>
                <w:sz w:val="16"/>
                <w:szCs w:val="16"/>
                <w:lang w:eastAsia="hr-HR"/>
              </w:rPr>
            </w:pPr>
            <w:r w:rsidRPr="00AE45B9">
              <w:rPr>
                <w:rFonts w:ascii="Arial" w:eastAsia="Times New Roman" w:hAnsi="Arial" w:cs="Arial"/>
                <w:sz w:val="16"/>
                <w:szCs w:val="16"/>
                <w:lang w:eastAsia="hr-HR"/>
              </w:rPr>
              <w:t>Auto gume</w:t>
            </w:r>
          </w:p>
        </w:tc>
      </w:tr>
      <w:tr w:rsidR="00F04379" w:rsidRPr="00AE45B9" w:rsidTr="006B7B79">
        <w:trPr>
          <w:trHeight w:val="300"/>
          <w:jc w:val="center"/>
        </w:trPr>
        <w:tc>
          <w:tcPr>
            <w:tcW w:w="1300" w:type="dxa"/>
            <w:tcBorders>
              <w:top w:val="nil"/>
              <w:left w:val="single" w:sz="4" w:space="0" w:color="000080"/>
              <w:bottom w:val="single" w:sz="4" w:space="0" w:color="000080"/>
              <w:right w:val="single" w:sz="4" w:space="0" w:color="000080"/>
            </w:tcBorders>
            <w:shd w:val="clear" w:color="000000" w:fill="DCE6F1"/>
            <w:noWrap/>
            <w:vAlign w:val="center"/>
            <w:hideMark/>
          </w:tcPr>
          <w:p w:rsidR="00F04379" w:rsidRPr="00AE45B9" w:rsidRDefault="00F04379" w:rsidP="00AE45B9">
            <w:pPr>
              <w:spacing w:after="0" w:line="240" w:lineRule="auto"/>
              <w:ind w:firstLineChars="200" w:firstLine="320"/>
              <w:rPr>
                <w:rFonts w:ascii="Arial" w:eastAsia="Times New Roman" w:hAnsi="Arial" w:cs="Arial"/>
                <w:sz w:val="16"/>
                <w:szCs w:val="16"/>
                <w:lang w:eastAsia="hr-HR"/>
              </w:rPr>
            </w:pPr>
            <w:r w:rsidRPr="00AE45B9">
              <w:rPr>
                <w:rFonts w:ascii="Arial" w:eastAsia="Times New Roman" w:hAnsi="Arial" w:cs="Arial"/>
                <w:sz w:val="16"/>
                <w:szCs w:val="16"/>
                <w:lang w:eastAsia="hr-HR"/>
              </w:rPr>
              <w:t>- Ukupno</w:t>
            </w:r>
          </w:p>
        </w:tc>
        <w:tc>
          <w:tcPr>
            <w:tcW w:w="1340" w:type="dxa"/>
            <w:tcBorders>
              <w:top w:val="nil"/>
              <w:left w:val="nil"/>
              <w:bottom w:val="single" w:sz="4" w:space="0" w:color="000080"/>
              <w:right w:val="single" w:sz="4" w:space="0" w:color="000080"/>
            </w:tcBorders>
            <w:shd w:val="clear" w:color="000000" w:fill="DCE6F1"/>
            <w:noWrap/>
            <w:vAlign w:val="center"/>
            <w:hideMark/>
          </w:tcPr>
          <w:p w:rsidR="00F04379" w:rsidRPr="00AE45B9" w:rsidRDefault="00F04379" w:rsidP="00F04379">
            <w:pPr>
              <w:spacing w:after="0" w:line="240" w:lineRule="auto"/>
              <w:jc w:val="right"/>
              <w:rPr>
                <w:rFonts w:ascii="Arial" w:eastAsia="Times New Roman" w:hAnsi="Arial" w:cs="Arial"/>
                <w:color w:val="000000"/>
                <w:sz w:val="16"/>
                <w:szCs w:val="16"/>
                <w:lang w:eastAsia="hr-HR"/>
              </w:rPr>
            </w:pPr>
            <w:r w:rsidRPr="00AE45B9">
              <w:rPr>
                <w:rFonts w:ascii="Arial" w:eastAsia="Times New Roman" w:hAnsi="Arial" w:cs="Arial"/>
                <w:color w:val="000000"/>
                <w:sz w:val="16"/>
                <w:szCs w:val="16"/>
                <w:lang w:eastAsia="hr-HR"/>
              </w:rPr>
              <w:t>27,381</w:t>
            </w:r>
          </w:p>
        </w:tc>
        <w:tc>
          <w:tcPr>
            <w:tcW w:w="1340" w:type="dxa"/>
            <w:tcBorders>
              <w:top w:val="nil"/>
              <w:left w:val="nil"/>
              <w:bottom w:val="single" w:sz="4" w:space="0" w:color="000080"/>
              <w:right w:val="single" w:sz="4" w:space="0" w:color="000080"/>
            </w:tcBorders>
            <w:shd w:val="clear" w:color="000000" w:fill="DCE6F1"/>
            <w:noWrap/>
            <w:vAlign w:val="center"/>
            <w:hideMark/>
          </w:tcPr>
          <w:p w:rsidR="00F04379" w:rsidRPr="00AE45B9" w:rsidRDefault="00F04379" w:rsidP="00F04379">
            <w:pPr>
              <w:spacing w:after="0" w:line="240" w:lineRule="auto"/>
              <w:jc w:val="right"/>
              <w:rPr>
                <w:rFonts w:ascii="Arial" w:eastAsia="Times New Roman" w:hAnsi="Arial" w:cs="Arial"/>
                <w:color w:val="000000"/>
                <w:sz w:val="16"/>
                <w:szCs w:val="16"/>
                <w:lang w:eastAsia="hr-HR"/>
              </w:rPr>
            </w:pPr>
            <w:r w:rsidRPr="00AE45B9">
              <w:rPr>
                <w:rFonts w:ascii="Arial" w:eastAsia="Times New Roman" w:hAnsi="Arial" w:cs="Arial"/>
                <w:color w:val="000000"/>
                <w:sz w:val="16"/>
                <w:szCs w:val="16"/>
                <w:lang w:eastAsia="hr-HR"/>
              </w:rPr>
              <w:t>13,991</w:t>
            </w:r>
          </w:p>
        </w:tc>
        <w:tc>
          <w:tcPr>
            <w:tcW w:w="1340" w:type="dxa"/>
            <w:tcBorders>
              <w:top w:val="nil"/>
              <w:left w:val="nil"/>
              <w:bottom w:val="single" w:sz="4" w:space="0" w:color="000080"/>
              <w:right w:val="single" w:sz="4" w:space="0" w:color="000080"/>
            </w:tcBorders>
            <w:shd w:val="clear" w:color="000000" w:fill="DCE6F1"/>
            <w:noWrap/>
            <w:vAlign w:val="center"/>
            <w:hideMark/>
          </w:tcPr>
          <w:p w:rsidR="00F04379" w:rsidRPr="00AE45B9" w:rsidRDefault="00F04379" w:rsidP="00F04379">
            <w:pPr>
              <w:spacing w:after="0" w:line="240" w:lineRule="auto"/>
              <w:jc w:val="right"/>
              <w:rPr>
                <w:rFonts w:ascii="Arial" w:eastAsia="Times New Roman" w:hAnsi="Arial" w:cs="Arial"/>
                <w:color w:val="000000"/>
                <w:sz w:val="16"/>
                <w:szCs w:val="16"/>
                <w:lang w:eastAsia="hr-HR"/>
              </w:rPr>
            </w:pPr>
            <w:r w:rsidRPr="00AE45B9">
              <w:rPr>
                <w:rFonts w:ascii="Arial" w:eastAsia="Times New Roman" w:hAnsi="Arial" w:cs="Arial"/>
                <w:color w:val="000000"/>
                <w:sz w:val="16"/>
                <w:szCs w:val="16"/>
                <w:lang w:eastAsia="hr-HR"/>
              </w:rPr>
              <w:t>13,390</w:t>
            </w:r>
          </w:p>
        </w:tc>
      </w:tr>
      <w:tr w:rsidR="00F04379" w:rsidRPr="00AE45B9" w:rsidTr="006B7B79">
        <w:trPr>
          <w:trHeight w:val="300"/>
          <w:jc w:val="center"/>
        </w:trPr>
        <w:tc>
          <w:tcPr>
            <w:tcW w:w="1300" w:type="dxa"/>
            <w:tcBorders>
              <w:top w:val="nil"/>
              <w:left w:val="single" w:sz="4" w:space="0" w:color="000080"/>
              <w:bottom w:val="single" w:sz="4" w:space="0" w:color="000080"/>
              <w:right w:val="single" w:sz="4" w:space="0" w:color="000080"/>
            </w:tcBorders>
            <w:shd w:val="clear" w:color="auto" w:fill="auto"/>
            <w:noWrap/>
            <w:vAlign w:val="center"/>
            <w:hideMark/>
          </w:tcPr>
          <w:p w:rsidR="00F04379" w:rsidRPr="00AE45B9" w:rsidRDefault="00F04379" w:rsidP="00AE45B9">
            <w:pPr>
              <w:spacing w:after="0" w:line="240" w:lineRule="auto"/>
              <w:ind w:firstLineChars="200" w:firstLine="320"/>
              <w:rPr>
                <w:rFonts w:ascii="Arial" w:eastAsia="Times New Roman" w:hAnsi="Arial" w:cs="Arial"/>
                <w:sz w:val="16"/>
                <w:szCs w:val="16"/>
                <w:lang w:eastAsia="hr-HR"/>
              </w:rPr>
            </w:pPr>
            <w:r w:rsidRPr="00AE45B9">
              <w:rPr>
                <w:rFonts w:ascii="Arial" w:eastAsia="Times New Roman" w:hAnsi="Arial" w:cs="Arial"/>
                <w:sz w:val="16"/>
                <w:szCs w:val="16"/>
                <w:lang w:eastAsia="hr-HR"/>
              </w:rPr>
              <w:t>- 1+2+8</w:t>
            </w:r>
          </w:p>
        </w:tc>
        <w:tc>
          <w:tcPr>
            <w:tcW w:w="1340" w:type="dxa"/>
            <w:tcBorders>
              <w:top w:val="nil"/>
              <w:left w:val="nil"/>
              <w:bottom w:val="single" w:sz="4" w:space="0" w:color="000080"/>
              <w:right w:val="single" w:sz="4" w:space="0" w:color="000080"/>
            </w:tcBorders>
            <w:shd w:val="clear" w:color="auto" w:fill="auto"/>
            <w:noWrap/>
            <w:vAlign w:val="center"/>
            <w:hideMark/>
          </w:tcPr>
          <w:p w:rsidR="00F04379" w:rsidRPr="00AE45B9" w:rsidRDefault="00F04379" w:rsidP="00F04379">
            <w:pPr>
              <w:spacing w:after="0" w:line="240" w:lineRule="auto"/>
              <w:jc w:val="right"/>
              <w:rPr>
                <w:rFonts w:ascii="Arial" w:eastAsia="Times New Roman" w:hAnsi="Arial" w:cs="Arial"/>
                <w:color w:val="000000"/>
                <w:sz w:val="16"/>
                <w:szCs w:val="16"/>
                <w:lang w:eastAsia="hr-HR"/>
              </w:rPr>
            </w:pPr>
            <w:r w:rsidRPr="00AE45B9">
              <w:rPr>
                <w:rFonts w:ascii="Arial" w:eastAsia="Times New Roman" w:hAnsi="Arial" w:cs="Arial"/>
                <w:color w:val="000000"/>
                <w:sz w:val="16"/>
                <w:szCs w:val="16"/>
                <w:lang w:eastAsia="hr-HR"/>
              </w:rPr>
              <w:t>24,961</w:t>
            </w:r>
          </w:p>
        </w:tc>
        <w:tc>
          <w:tcPr>
            <w:tcW w:w="1340" w:type="dxa"/>
            <w:tcBorders>
              <w:top w:val="nil"/>
              <w:left w:val="nil"/>
              <w:bottom w:val="single" w:sz="4" w:space="0" w:color="000080"/>
              <w:right w:val="single" w:sz="4" w:space="0" w:color="000080"/>
            </w:tcBorders>
            <w:shd w:val="clear" w:color="auto" w:fill="auto"/>
            <w:noWrap/>
            <w:vAlign w:val="center"/>
            <w:hideMark/>
          </w:tcPr>
          <w:p w:rsidR="00F04379" w:rsidRPr="00AE45B9" w:rsidRDefault="00F04379" w:rsidP="00F04379">
            <w:pPr>
              <w:spacing w:after="0" w:line="240" w:lineRule="auto"/>
              <w:jc w:val="right"/>
              <w:rPr>
                <w:rFonts w:ascii="Arial" w:eastAsia="Times New Roman" w:hAnsi="Arial" w:cs="Arial"/>
                <w:color w:val="000000"/>
                <w:sz w:val="16"/>
                <w:szCs w:val="16"/>
                <w:lang w:eastAsia="hr-HR"/>
              </w:rPr>
            </w:pPr>
            <w:r w:rsidRPr="00AE45B9">
              <w:rPr>
                <w:rFonts w:ascii="Arial" w:eastAsia="Times New Roman" w:hAnsi="Arial" w:cs="Arial"/>
                <w:color w:val="000000"/>
                <w:sz w:val="16"/>
                <w:szCs w:val="16"/>
                <w:lang w:eastAsia="hr-HR"/>
              </w:rPr>
              <w:t>11,729</w:t>
            </w:r>
          </w:p>
        </w:tc>
        <w:tc>
          <w:tcPr>
            <w:tcW w:w="1340" w:type="dxa"/>
            <w:tcBorders>
              <w:top w:val="nil"/>
              <w:left w:val="nil"/>
              <w:bottom w:val="single" w:sz="4" w:space="0" w:color="000080"/>
              <w:right w:val="single" w:sz="4" w:space="0" w:color="000080"/>
            </w:tcBorders>
            <w:shd w:val="clear" w:color="auto" w:fill="auto"/>
            <w:noWrap/>
            <w:vAlign w:val="center"/>
            <w:hideMark/>
          </w:tcPr>
          <w:p w:rsidR="00F04379" w:rsidRPr="00AE45B9" w:rsidRDefault="00F04379" w:rsidP="00F04379">
            <w:pPr>
              <w:spacing w:after="0" w:line="240" w:lineRule="auto"/>
              <w:jc w:val="right"/>
              <w:rPr>
                <w:rFonts w:ascii="Arial" w:eastAsia="Times New Roman" w:hAnsi="Arial" w:cs="Arial"/>
                <w:color w:val="000000"/>
                <w:sz w:val="16"/>
                <w:szCs w:val="16"/>
                <w:lang w:eastAsia="hr-HR"/>
              </w:rPr>
            </w:pPr>
            <w:r w:rsidRPr="00AE45B9">
              <w:rPr>
                <w:rFonts w:ascii="Arial" w:eastAsia="Times New Roman" w:hAnsi="Arial" w:cs="Arial"/>
                <w:color w:val="000000"/>
                <w:sz w:val="16"/>
                <w:szCs w:val="16"/>
                <w:lang w:eastAsia="hr-HR"/>
              </w:rPr>
              <w:t>13,232</w:t>
            </w:r>
          </w:p>
        </w:tc>
      </w:tr>
      <w:tr w:rsidR="00F04379" w:rsidRPr="00AE45B9" w:rsidTr="006B7B79">
        <w:trPr>
          <w:trHeight w:val="300"/>
          <w:jc w:val="center"/>
        </w:trPr>
        <w:tc>
          <w:tcPr>
            <w:tcW w:w="1300" w:type="dxa"/>
            <w:tcBorders>
              <w:top w:val="nil"/>
              <w:left w:val="single" w:sz="4" w:space="0" w:color="000080"/>
              <w:bottom w:val="single" w:sz="4" w:space="0" w:color="000080"/>
              <w:right w:val="single" w:sz="4" w:space="0" w:color="000080"/>
            </w:tcBorders>
            <w:shd w:val="clear" w:color="auto" w:fill="auto"/>
            <w:noWrap/>
            <w:vAlign w:val="center"/>
            <w:hideMark/>
          </w:tcPr>
          <w:p w:rsidR="00F04379" w:rsidRPr="00AE45B9" w:rsidRDefault="00F04379" w:rsidP="00AE45B9">
            <w:pPr>
              <w:spacing w:after="0" w:line="240" w:lineRule="auto"/>
              <w:ind w:firstLineChars="200" w:firstLine="320"/>
              <w:rPr>
                <w:rFonts w:ascii="Arial" w:eastAsia="Times New Roman" w:hAnsi="Arial" w:cs="Arial"/>
                <w:sz w:val="16"/>
                <w:szCs w:val="16"/>
                <w:lang w:eastAsia="hr-HR"/>
              </w:rPr>
            </w:pPr>
            <w:r w:rsidRPr="00AE45B9">
              <w:rPr>
                <w:rFonts w:ascii="Arial" w:eastAsia="Times New Roman" w:hAnsi="Arial" w:cs="Arial"/>
                <w:sz w:val="16"/>
                <w:szCs w:val="16"/>
                <w:lang w:eastAsia="hr-HR"/>
              </w:rPr>
              <w:t>- ostali izvori</w:t>
            </w:r>
          </w:p>
        </w:tc>
        <w:tc>
          <w:tcPr>
            <w:tcW w:w="1340" w:type="dxa"/>
            <w:tcBorders>
              <w:top w:val="nil"/>
              <w:left w:val="nil"/>
              <w:bottom w:val="single" w:sz="4" w:space="0" w:color="000080"/>
              <w:right w:val="single" w:sz="4" w:space="0" w:color="000080"/>
            </w:tcBorders>
            <w:shd w:val="clear" w:color="auto" w:fill="auto"/>
            <w:noWrap/>
            <w:vAlign w:val="center"/>
            <w:hideMark/>
          </w:tcPr>
          <w:p w:rsidR="00F04379" w:rsidRPr="00AE45B9" w:rsidRDefault="00F04379" w:rsidP="00F04379">
            <w:pPr>
              <w:spacing w:after="0" w:line="240" w:lineRule="auto"/>
              <w:jc w:val="right"/>
              <w:rPr>
                <w:rFonts w:ascii="Arial" w:eastAsia="Times New Roman" w:hAnsi="Arial" w:cs="Arial"/>
                <w:color w:val="000000"/>
                <w:sz w:val="16"/>
                <w:szCs w:val="16"/>
                <w:lang w:eastAsia="hr-HR"/>
              </w:rPr>
            </w:pPr>
            <w:r w:rsidRPr="00AE45B9">
              <w:rPr>
                <w:rFonts w:ascii="Arial" w:eastAsia="Times New Roman" w:hAnsi="Arial" w:cs="Arial"/>
                <w:color w:val="000000"/>
                <w:sz w:val="16"/>
                <w:szCs w:val="16"/>
                <w:lang w:eastAsia="hr-HR"/>
              </w:rPr>
              <w:t>2,419</w:t>
            </w:r>
          </w:p>
        </w:tc>
        <w:tc>
          <w:tcPr>
            <w:tcW w:w="1340" w:type="dxa"/>
            <w:tcBorders>
              <w:top w:val="nil"/>
              <w:left w:val="nil"/>
              <w:bottom w:val="single" w:sz="4" w:space="0" w:color="000080"/>
              <w:right w:val="single" w:sz="4" w:space="0" w:color="000080"/>
            </w:tcBorders>
            <w:shd w:val="clear" w:color="auto" w:fill="auto"/>
            <w:noWrap/>
            <w:vAlign w:val="center"/>
            <w:hideMark/>
          </w:tcPr>
          <w:p w:rsidR="00F04379" w:rsidRPr="00AE45B9" w:rsidRDefault="00F04379" w:rsidP="00F04379">
            <w:pPr>
              <w:spacing w:after="0" w:line="240" w:lineRule="auto"/>
              <w:jc w:val="right"/>
              <w:rPr>
                <w:rFonts w:ascii="Arial" w:eastAsia="Times New Roman" w:hAnsi="Arial" w:cs="Arial"/>
                <w:color w:val="000000"/>
                <w:sz w:val="16"/>
                <w:szCs w:val="16"/>
                <w:lang w:eastAsia="hr-HR"/>
              </w:rPr>
            </w:pPr>
            <w:r w:rsidRPr="00AE45B9">
              <w:rPr>
                <w:rFonts w:ascii="Arial" w:eastAsia="Times New Roman" w:hAnsi="Arial" w:cs="Arial"/>
                <w:color w:val="000000"/>
                <w:sz w:val="16"/>
                <w:szCs w:val="16"/>
                <w:lang w:eastAsia="hr-HR"/>
              </w:rPr>
              <w:t>2,262</w:t>
            </w:r>
          </w:p>
        </w:tc>
        <w:tc>
          <w:tcPr>
            <w:tcW w:w="1340" w:type="dxa"/>
            <w:tcBorders>
              <w:top w:val="nil"/>
              <w:left w:val="nil"/>
              <w:bottom w:val="single" w:sz="4" w:space="0" w:color="000080"/>
              <w:right w:val="single" w:sz="4" w:space="0" w:color="000080"/>
            </w:tcBorders>
            <w:shd w:val="clear" w:color="auto" w:fill="auto"/>
            <w:noWrap/>
            <w:vAlign w:val="center"/>
            <w:hideMark/>
          </w:tcPr>
          <w:p w:rsidR="00F04379" w:rsidRPr="00AE45B9" w:rsidRDefault="00363A68" w:rsidP="00F04379">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00F04379" w:rsidRPr="00AE45B9">
              <w:rPr>
                <w:rFonts w:ascii="Arial" w:eastAsia="Times New Roman" w:hAnsi="Arial" w:cs="Arial"/>
                <w:color w:val="000000"/>
                <w:sz w:val="16"/>
                <w:szCs w:val="16"/>
                <w:lang w:eastAsia="hr-HR"/>
              </w:rPr>
              <w:t>,158</w:t>
            </w:r>
          </w:p>
        </w:tc>
      </w:tr>
    </w:tbl>
    <w:p w:rsidR="00F04379" w:rsidRPr="00FA7F54" w:rsidRDefault="00F04379" w:rsidP="00316641">
      <w:pPr>
        <w:spacing w:after="0" w:line="240" w:lineRule="auto"/>
        <w:rPr>
          <w:rFonts w:ascii="Times New Roman" w:hAnsi="Times New Roman" w:cs="Times New Roman"/>
        </w:rPr>
      </w:pPr>
    </w:p>
    <w:p w:rsidR="007B2D78" w:rsidRPr="00800B94" w:rsidRDefault="007B2D78" w:rsidP="007B2D78">
      <w:pPr>
        <w:shd w:val="clear" w:color="auto" w:fill="FFFFFF"/>
        <w:spacing w:after="0" w:line="240" w:lineRule="auto"/>
        <w:ind w:firstLine="360"/>
        <w:jc w:val="both"/>
        <w:rPr>
          <w:rFonts w:ascii="Times New Roman" w:hAnsi="Times New Roman" w:cs="Times New Roman"/>
          <w:u w:val="single"/>
        </w:rPr>
      </w:pPr>
      <w:r w:rsidRPr="00800B94">
        <w:rPr>
          <w:rFonts w:ascii="Times New Roman" w:hAnsi="Times New Roman" w:cs="Times New Roman"/>
          <w:u w:val="single"/>
        </w:rPr>
        <w:t>Mjere za smanjenje odnosno optimizaciju rashoda:</w:t>
      </w:r>
    </w:p>
    <w:p w:rsidR="00292F0B" w:rsidRPr="00800B94" w:rsidRDefault="00292F0B" w:rsidP="00922D60">
      <w:pPr>
        <w:pStyle w:val="Odlomakpopisa"/>
        <w:numPr>
          <w:ilvl w:val="0"/>
          <w:numId w:val="23"/>
        </w:numPr>
        <w:shd w:val="clear" w:color="auto" w:fill="FFFFFF"/>
        <w:spacing w:after="0" w:line="240" w:lineRule="auto"/>
        <w:jc w:val="both"/>
        <w:rPr>
          <w:rFonts w:ascii="Times New Roman" w:hAnsi="Times New Roman" w:cs="Times New Roman"/>
        </w:rPr>
      </w:pPr>
      <w:r w:rsidRPr="00800B94">
        <w:rPr>
          <w:rFonts w:ascii="Times New Roman" w:hAnsi="Times New Roman" w:cs="Times New Roman"/>
        </w:rPr>
        <w:t xml:space="preserve">Optimizacija/standardizacija proizvoda i usluga i ostvarivanja ušteda u javnoj potrošnji  kroz učinkoviti sustav središnje javne nabave </w:t>
      </w:r>
    </w:p>
    <w:p w:rsidR="001167F0" w:rsidRPr="0021460A" w:rsidRDefault="000E105C" w:rsidP="0021460A">
      <w:pPr>
        <w:shd w:val="clear" w:color="auto" w:fill="FFFFFF"/>
        <w:spacing w:after="0" w:line="240" w:lineRule="auto"/>
        <w:jc w:val="both"/>
        <w:rPr>
          <w:rFonts w:ascii="Times New Roman" w:hAnsi="Times New Roman" w:cs="Times New Roman"/>
        </w:rPr>
      </w:pPr>
      <w:r>
        <w:rPr>
          <w:rFonts w:ascii="Times New Roman" w:hAnsi="Times New Roman" w:cs="Times New Roman"/>
        </w:rPr>
        <w:t>U 2013. godini</w:t>
      </w:r>
      <w:r w:rsidRPr="000E105C">
        <w:rPr>
          <w:rFonts w:ascii="Times New Roman" w:hAnsi="Times New Roman" w:cs="Times New Roman"/>
        </w:rPr>
        <w:t xml:space="preserve"> započet</w:t>
      </w:r>
      <w:r>
        <w:rPr>
          <w:rFonts w:ascii="Times New Roman" w:hAnsi="Times New Roman" w:cs="Times New Roman"/>
        </w:rPr>
        <w:t xml:space="preserve"> je</w:t>
      </w:r>
      <w:r w:rsidRPr="000E105C">
        <w:rPr>
          <w:rFonts w:ascii="Times New Roman" w:hAnsi="Times New Roman" w:cs="Times New Roman"/>
        </w:rPr>
        <w:t xml:space="preserve">, a </w:t>
      </w:r>
      <w:r>
        <w:rPr>
          <w:rFonts w:ascii="Times New Roman" w:hAnsi="Times New Roman" w:cs="Times New Roman"/>
        </w:rPr>
        <w:t xml:space="preserve">u 2014. godini </w:t>
      </w:r>
      <w:r w:rsidRPr="000E105C">
        <w:rPr>
          <w:rFonts w:ascii="Times New Roman" w:hAnsi="Times New Roman" w:cs="Times New Roman"/>
        </w:rPr>
        <w:t>završen postupak središnje javne nabave auto-guma za 34 korisnika središnje javne nabave. Sklopljeno je 9 okvirnih sporazuma (pri čemu su grupe nabave dijeljene po regijama</w:t>
      </w:r>
      <w:r w:rsidR="008A77EA">
        <w:rPr>
          <w:rFonts w:ascii="Times New Roman" w:hAnsi="Times New Roman" w:cs="Times New Roman"/>
        </w:rPr>
        <w:t>,</w:t>
      </w:r>
      <w:r w:rsidRPr="000E105C">
        <w:rPr>
          <w:rFonts w:ascii="Times New Roman" w:hAnsi="Times New Roman" w:cs="Times New Roman"/>
        </w:rPr>
        <w:t xml:space="preserve"> a jedna grupa se odnosila na specijalna vozila MORH-a). Procijenjena vrijednost za razdoblje od 4 godine iznosila je 41,5 mil</w:t>
      </w:r>
      <w:r w:rsidR="00350787">
        <w:rPr>
          <w:rFonts w:ascii="Times New Roman" w:hAnsi="Times New Roman" w:cs="Times New Roman"/>
        </w:rPr>
        <w:t>.</w:t>
      </w:r>
      <w:r w:rsidRPr="000E105C">
        <w:rPr>
          <w:rFonts w:ascii="Times New Roman" w:hAnsi="Times New Roman" w:cs="Times New Roman"/>
        </w:rPr>
        <w:t xml:space="preserve"> kuna, okvirni sporazumi sklopljeni su s do tri ponuditelja, a očekivane uštede su </w:t>
      </w:r>
      <w:proofErr w:type="spellStart"/>
      <w:r w:rsidRPr="000E105C">
        <w:rPr>
          <w:rFonts w:ascii="Times New Roman" w:hAnsi="Times New Roman" w:cs="Times New Roman"/>
        </w:rPr>
        <w:t>cca</w:t>
      </w:r>
      <w:proofErr w:type="spellEnd"/>
      <w:r w:rsidRPr="000E105C">
        <w:rPr>
          <w:rFonts w:ascii="Times New Roman" w:hAnsi="Times New Roman" w:cs="Times New Roman"/>
        </w:rPr>
        <w:t xml:space="preserve"> 10% u odnosu na procijenjenu vrijednost. Uz auto gume kao robu, ugovorena su i usluge zamjene auto guma i čuvanje van sezone korištenja. U postupku se očekuju uštede u vidu jediničnih cijena auto guma, koje se tijekom trajanja okvirnog sporazuma mogu dodatno smanjivati te u standardizaciji ugovorenih auto guma, koje zadovoljavaju potrebe za koje se vozila koriste. Tehničkim specifikacijama i u suradnji s korisnicima i stručnim osobama, propisane su karakteristike auto guma primjerene svrsi korištenja vozila.</w:t>
      </w:r>
    </w:p>
    <w:p w:rsidR="004B1246" w:rsidRPr="00FA7F54" w:rsidRDefault="004B1246" w:rsidP="004B1246">
      <w:pPr>
        <w:pStyle w:val="Naslov2"/>
        <w:rPr>
          <w:rFonts w:ascii="Times New Roman" w:hAnsi="Times New Roman" w:cs="Times New Roman"/>
          <w:color w:val="auto"/>
          <w:sz w:val="22"/>
          <w:szCs w:val="22"/>
        </w:rPr>
      </w:pPr>
      <w:bookmarkStart w:id="60" w:name="_Toc434411185"/>
      <w:bookmarkStart w:id="61" w:name="_Toc436402328"/>
      <w:r w:rsidRPr="00FA7F54">
        <w:rPr>
          <w:rFonts w:ascii="Times New Roman" w:hAnsi="Times New Roman" w:cs="Times New Roman"/>
          <w:color w:val="auto"/>
          <w:sz w:val="22"/>
          <w:szCs w:val="22"/>
        </w:rPr>
        <w:t>VOJNA OPREMA (3226)</w:t>
      </w:r>
      <w:bookmarkEnd w:id="60"/>
      <w:bookmarkEnd w:id="61"/>
    </w:p>
    <w:p w:rsidR="0091290A" w:rsidRPr="00FA7F54" w:rsidRDefault="004B1246" w:rsidP="006B7B79">
      <w:pPr>
        <w:spacing w:line="240" w:lineRule="auto"/>
        <w:jc w:val="both"/>
        <w:rPr>
          <w:rFonts w:ascii="Times New Roman" w:hAnsi="Times New Roman" w:cs="Times New Roman"/>
        </w:rPr>
      </w:pPr>
      <w:r w:rsidRPr="00FA7F54">
        <w:rPr>
          <w:rFonts w:ascii="Times New Roman" w:hAnsi="Times New Roman" w:cs="Times New Roman"/>
        </w:rPr>
        <w:t xml:space="preserve">Rashodi za vojnu opremu iskazani su u financijskim izvještajima MORH-a u iznosu od 525,1 mil. </w:t>
      </w:r>
      <w:r w:rsidR="00350787">
        <w:rPr>
          <w:rFonts w:ascii="Times New Roman" w:hAnsi="Times New Roman" w:cs="Times New Roman"/>
        </w:rPr>
        <w:t xml:space="preserve">kuna </w:t>
      </w:r>
      <w:r w:rsidRPr="00FA7F54">
        <w:rPr>
          <w:rFonts w:ascii="Times New Roman" w:hAnsi="Times New Roman" w:cs="Times New Roman"/>
        </w:rPr>
        <w:t>u 2013. i 360,3 mil. kuna u 2014. godini. U 2015. godini planirano je 17,9 mil. kuna rashoda za vojnu opremu koji se financ</w:t>
      </w:r>
      <w:r w:rsidR="009265D9" w:rsidRPr="00FA7F54">
        <w:rPr>
          <w:rFonts w:ascii="Times New Roman" w:hAnsi="Times New Roman" w:cs="Times New Roman"/>
        </w:rPr>
        <w:t>iraju iz izvora 43 Ostali prihodi za posebne namjene.</w:t>
      </w:r>
    </w:p>
    <w:p w:rsidR="004D451C" w:rsidRPr="00FA7F54" w:rsidRDefault="00351F5E" w:rsidP="004D451C">
      <w:pPr>
        <w:pStyle w:val="Naslov2"/>
        <w:rPr>
          <w:rFonts w:ascii="Times New Roman" w:hAnsi="Times New Roman" w:cs="Times New Roman"/>
          <w:color w:val="auto"/>
          <w:sz w:val="22"/>
          <w:szCs w:val="22"/>
        </w:rPr>
      </w:pPr>
      <w:bookmarkStart w:id="62" w:name="_Toc434411186"/>
      <w:bookmarkStart w:id="63" w:name="_Toc436402329"/>
      <w:r w:rsidRPr="00FA7F54">
        <w:rPr>
          <w:rFonts w:ascii="Times New Roman" w:hAnsi="Times New Roman" w:cs="Times New Roman"/>
          <w:color w:val="auto"/>
          <w:sz w:val="22"/>
          <w:szCs w:val="22"/>
        </w:rPr>
        <w:lastRenderedPageBreak/>
        <w:t>SLUŽBENA, RADNA I ZAŠTITNA ODJEĆA I OBUĆA (3227</w:t>
      </w:r>
      <w:r w:rsidR="004D451C" w:rsidRPr="00FA7F54">
        <w:rPr>
          <w:rFonts w:ascii="Times New Roman" w:hAnsi="Times New Roman" w:cs="Times New Roman"/>
          <w:color w:val="auto"/>
          <w:sz w:val="22"/>
          <w:szCs w:val="22"/>
        </w:rPr>
        <w:t>)</w:t>
      </w:r>
      <w:bookmarkEnd w:id="62"/>
      <w:bookmarkEnd w:id="63"/>
    </w:p>
    <w:p w:rsidR="00F16897" w:rsidRPr="00FA7F54" w:rsidRDefault="00F16897" w:rsidP="00F16897">
      <w:pPr>
        <w:spacing w:line="240" w:lineRule="auto"/>
        <w:jc w:val="both"/>
        <w:rPr>
          <w:rFonts w:ascii="Times New Roman" w:hAnsi="Times New Roman" w:cs="Times New Roman"/>
        </w:rPr>
      </w:pPr>
      <w:r w:rsidRPr="00FA7F54">
        <w:rPr>
          <w:rFonts w:ascii="Times New Roman" w:hAnsi="Times New Roman" w:cs="Times New Roman"/>
        </w:rPr>
        <w:t>Prema iskazanim podacima u financijskim izvještajima rashodi za službenu, radnu i zaštitnu odjeću i obuću u 2013. godini iznosili su 120,2 mil. kuna, a u 2014. godini 174,7 mil. kuna. U državnom proračunu za</w:t>
      </w:r>
      <w:r w:rsidR="00E529C8" w:rsidRPr="00FA7F54">
        <w:rPr>
          <w:rFonts w:ascii="Times New Roman" w:hAnsi="Times New Roman" w:cs="Times New Roman"/>
        </w:rPr>
        <w:t xml:space="preserve"> 2015. godinu planirano je 170,8</w:t>
      </w:r>
      <w:r w:rsidRPr="00FA7F54">
        <w:rPr>
          <w:rFonts w:ascii="Times New Roman" w:hAnsi="Times New Roman" w:cs="Times New Roman"/>
        </w:rPr>
        <w:t xml:space="preserve"> mil. kuna navedenih rashoda </w:t>
      </w:r>
      <w:r w:rsidR="00E529C8" w:rsidRPr="00FA7F54">
        <w:rPr>
          <w:rFonts w:ascii="Times New Roman" w:hAnsi="Times New Roman" w:cs="Times New Roman"/>
        </w:rPr>
        <w:t>od čega se 162,2</w:t>
      </w:r>
      <w:r w:rsidRPr="00FA7F54">
        <w:rPr>
          <w:rFonts w:ascii="Times New Roman" w:hAnsi="Times New Roman" w:cs="Times New Roman"/>
        </w:rPr>
        <w:t xml:space="preserve"> mil. financira iz izvora u limitu.</w:t>
      </w:r>
    </w:p>
    <w:p w:rsidR="00351F5E" w:rsidRPr="00FA7F54" w:rsidRDefault="003E56B6" w:rsidP="00655C82">
      <w:pPr>
        <w:spacing w:line="240" w:lineRule="auto"/>
        <w:jc w:val="both"/>
        <w:rPr>
          <w:rFonts w:ascii="Times New Roman" w:hAnsi="Times New Roman" w:cs="Times New Roman"/>
        </w:rPr>
      </w:pPr>
      <w:r w:rsidRPr="00FA7F54">
        <w:rPr>
          <w:rFonts w:ascii="Times New Roman" w:hAnsi="Times New Roman" w:cs="Times New Roman"/>
        </w:rPr>
        <w:t xml:space="preserve">Najveći dio rashoda odnosi se na tijela izvršne vlasti (MORH, MUP, Carinska uprava) koji se </w:t>
      </w:r>
      <w:r w:rsidR="00963BB6">
        <w:rPr>
          <w:rFonts w:ascii="Times New Roman" w:hAnsi="Times New Roman" w:cs="Times New Roman"/>
        </w:rPr>
        <w:t>više od 50</w:t>
      </w:r>
      <w:r w:rsidR="00350787">
        <w:rPr>
          <w:rFonts w:ascii="Times New Roman" w:hAnsi="Times New Roman" w:cs="Times New Roman"/>
        </w:rPr>
        <w:t>%</w:t>
      </w:r>
      <w:r w:rsidRPr="00FA7F54">
        <w:rPr>
          <w:rFonts w:ascii="Times New Roman" w:hAnsi="Times New Roman" w:cs="Times New Roman"/>
        </w:rPr>
        <w:t xml:space="preserve"> </w:t>
      </w:r>
      <w:r w:rsidR="00655C82" w:rsidRPr="00FA7F54">
        <w:rPr>
          <w:rFonts w:ascii="Times New Roman" w:hAnsi="Times New Roman" w:cs="Times New Roman"/>
        </w:rPr>
        <w:t xml:space="preserve">financiraju iz </w:t>
      </w:r>
      <w:r w:rsidR="00963BB6">
        <w:rPr>
          <w:rFonts w:ascii="Times New Roman" w:hAnsi="Times New Roman" w:cs="Times New Roman"/>
        </w:rPr>
        <w:t>proračuna</w:t>
      </w:r>
      <w:r w:rsidR="00655C82" w:rsidRPr="00FA7F54">
        <w:rPr>
          <w:rFonts w:ascii="Times New Roman" w:hAnsi="Times New Roman" w:cs="Times New Roman"/>
        </w:rPr>
        <w:t>.</w:t>
      </w:r>
    </w:p>
    <w:p w:rsidR="009835A2" w:rsidRPr="00350787" w:rsidRDefault="009835A2" w:rsidP="006B7B79">
      <w:pPr>
        <w:pStyle w:val="Opisslike"/>
        <w:spacing w:after="0"/>
        <w:jc w:val="both"/>
        <w:rPr>
          <w:rFonts w:ascii="Times New Roman" w:hAnsi="Times New Roman" w:cs="Times New Roman"/>
          <w:sz w:val="20"/>
          <w:szCs w:val="20"/>
        </w:rPr>
      </w:pPr>
      <w:bookmarkStart w:id="64" w:name="_Toc436402276"/>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29</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 xml:space="preserve">: </w:t>
      </w:r>
      <w:r w:rsidR="00A62276" w:rsidRPr="006B7B79">
        <w:rPr>
          <w:rFonts w:ascii="Times New Roman" w:hAnsi="Times New Roman" w:cs="Times New Roman"/>
          <w:sz w:val="20"/>
          <w:szCs w:val="20"/>
        </w:rPr>
        <w:t xml:space="preserve">Službena, radna i zaštitna odjeća i obuća prema podacima iskazanim u financijskim izvještajima proračunskih i izvanproračunskih korisnika za 2013. i 2014. </w:t>
      </w:r>
      <w:r w:rsidR="00D77A91" w:rsidRPr="006B7B79">
        <w:rPr>
          <w:rFonts w:ascii="Times New Roman" w:hAnsi="Times New Roman" w:cs="Times New Roman"/>
          <w:sz w:val="20"/>
          <w:szCs w:val="20"/>
        </w:rPr>
        <w:t>g</w:t>
      </w:r>
      <w:r w:rsidR="00A62276" w:rsidRPr="006B7B79">
        <w:rPr>
          <w:rFonts w:ascii="Times New Roman" w:hAnsi="Times New Roman" w:cs="Times New Roman"/>
          <w:sz w:val="20"/>
          <w:szCs w:val="20"/>
        </w:rPr>
        <w:t>odinu</w:t>
      </w:r>
      <w:r w:rsidR="00D77A91" w:rsidRPr="006B7B79">
        <w:rPr>
          <w:rFonts w:ascii="Times New Roman" w:hAnsi="Times New Roman" w:cs="Times New Roman"/>
          <w:sz w:val="20"/>
          <w:szCs w:val="20"/>
        </w:rPr>
        <w:t xml:space="preserve"> te planu Državnog proračuna za 2015. godinu</w:t>
      </w:r>
      <w:bookmarkEnd w:id="64"/>
    </w:p>
    <w:p w:rsidR="00351F5E" w:rsidRPr="00FA7F54" w:rsidRDefault="00692A52" w:rsidP="00C83540">
      <w:pPr>
        <w:spacing w:line="240" w:lineRule="auto"/>
        <w:rPr>
          <w:rFonts w:ascii="Times New Roman" w:hAnsi="Times New Roman" w:cs="Times New Roman"/>
        </w:rPr>
      </w:pPr>
      <w:r w:rsidRPr="00692A52">
        <w:rPr>
          <w:noProof/>
          <w:lang w:eastAsia="hr-HR"/>
        </w:rPr>
        <w:drawing>
          <wp:inline distT="0" distB="0" distL="0" distR="0" wp14:anchorId="266CA1FC" wp14:editId="308EFCB7">
            <wp:extent cx="5676900" cy="3486150"/>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6900" cy="3486150"/>
                    </a:xfrm>
                    <a:prstGeom prst="rect">
                      <a:avLst/>
                    </a:prstGeom>
                    <a:noFill/>
                    <a:ln>
                      <a:noFill/>
                    </a:ln>
                  </pic:spPr>
                </pic:pic>
              </a:graphicData>
            </a:graphic>
          </wp:inline>
        </w:drawing>
      </w:r>
    </w:p>
    <w:p w:rsidR="009D0DCA" w:rsidRPr="00FA7F54" w:rsidRDefault="009D0DCA" w:rsidP="009D0DCA">
      <w:pPr>
        <w:shd w:val="clear" w:color="auto" w:fill="FFFFFF"/>
        <w:spacing w:after="0" w:line="240" w:lineRule="auto"/>
        <w:ind w:firstLine="360"/>
        <w:jc w:val="both"/>
        <w:rPr>
          <w:rFonts w:ascii="Times New Roman" w:hAnsi="Times New Roman" w:cs="Times New Roman"/>
          <w:u w:val="single"/>
        </w:rPr>
      </w:pPr>
      <w:r w:rsidRPr="00FA7F54">
        <w:rPr>
          <w:rFonts w:ascii="Times New Roman" w:hAnsi="Times New Roman" w:cs="Times New Roman"/>
          <w:u w:val="single"/>
        </w:rPr>
        <w:t>Mjere za smanjenje odnosno optimizaciju rashoda:</w:t>
      </w:r>
    </w:p>
    <w:p w:rsidR="00655C82" w:rsidRPr="00FA7F54" w:rsidRDefault="009D0DCA" w:rsidP="00986C31">
      <w:pPr>
        <w:pStyle w:val="Odlomakpopisa"/>
        <w:numPr>
          <w:ilvl w:val="0"/>
          <w:numId w:val="10"/>
        </w:numPr>
        <w:spacing w:after="0" w:line="240" w:lineRule="auto"/>
        <w:ind w:left="0" w:firstLine="360"/>
        <w:jc w:val="both"/>
        <w:rPr>
          <w:rFonts w:ascii="Times New Roman" w:hAnsi="Times New Roman" w:cs="Times New Roman"/>
        </w:rPr>
      </w:pPr>
      <w:r w:rsidRPr="00FA7F54">
        <w:rPr>
          <w:rFonts w:ascii="Times New Roman" w:hAnsi="Times New Roman" w:cs="Times New Roman"/>
        </w:rPr>
        <w:t>U radnoj skupini prezentirati primjere</w:t>
      </w:r>
      <w:r w:rsidR="00806D4C">
        <w:rPr>
          <w:rFonts w:ascii="Times New Roman" w:hAnsi="Times New Roman" w:cs="Times New Roman"/>
        </w:rPr>
        <w:t xml:space="preserve"> dobre prakse</w:t>
      </w:r>
      <w:r w:rsidRPr="00FA7F54">
        <w:rPr>
          <w:rFonts w:ascii="Times New Roman" w:hAnsi="Times New Roman" w:cs="Times New Roman"/>
        </w:rPr>
        <w:t xml:space="preserve"> upravljanja troškovima službene, radne i zaštitne odjeće.</w:t>
      </w:r>
    </w:p>
    <w:p w:rsidR="00CF000D" w:rsidRPr="00FA7F54" w:rsidRDefault="00CF000D" w:rsidP="00986C31">
      <w:pPr>
        <w:pStyle w:val="Naslov1"/>
        <w:numPr>
          <w:ilvl w:val="0"/>
          <w:numId w:val="4"/>
        </w:numPr>
        <w:ind w:left="567" w:hanging="567"/>
        <w:rPr>
          <w:rFonts w:ascii="Times New Roman" w:hAnsi="Times New Roman" w:cs="Times New Roman"/>
          <w:color w:val="auto"/>
          <w:sz w:val="22"/>
          <w:szCs w:val="22"/>
        </w:rPr>
      </w:pPr>
      <w:bookmarkStart w:id="65" w:name="_Toc434411187"/>
      <w:bookmarkStart w:id="66" w:name="_Toc436402330"/>
      <w:r w:rsidRPr="00FA7F54">
        <w:rPr>
          <w:rFonts w:ascii="Times New Roman" w:hAnsi="Times New Roman" w:cs="Times New Roman"/>
          <w:color w:val="auto"/>
          <w:sz w:val="22"/>
          <w:szCs w:val="22"/>
        </w:rPr>
        <w:t>RASHODI ZA USLUGE (323)</w:t>
      </w:r>
      <w:bookmarkEnd w:id="65"/>
      <w:bookmarkEnd w:id="66"/>
    </w:p>
    <w:p w:rsidR="00CF000D" w:rsidRPr="00FA7F54" w:rsidRDefault="00CF000D" w:rsidP="00CF000D">
      <w:pPr>
        <w:spacing w:line="240" w:lineRule="auto"/>
        <w:jc w:val="both"/>
        <w:rPr>
          <w:rFonts w:ascii="Times New Roman" w:hAnsi="Times New Roman" w:cs="Times New Roman"/>
        </w:rPr>
      </w:pPr>
      <w:r w:rsidRPr="00FA7F54">
        <w:rPr>
          <w:rFonts w:ascii="Times New Roman" w:hAnsi="Times New Roman" w:cs="Times New Roman"/>
        </w:rPr>
        <w:t>Rashodi za usluge prema financijskim izvještajima iznose 7</w:t>
      </w:r>
      <w:r w:rsidR="00350787">
        <w:rPr>
          <w:rFonts w:ascii="Times New Roman" w:hAnsi="Times New Roman" w:cs="Times New Roman"/>
        </w:rPr>
        <w:t>,0</w:t>
      </w:r>
      <w:r w:rsidRPr="00FA7F54">
        <w:rPr>
          <w:rFonts w:ascii="Times New Roman" w:hAnsi="Times New Roman" w:cs="Times New Roman"/>
        </w:rPr>
        <w:t xml:space="preserve"> </w:t>
      </w:r>
      <w:r w:rsidR="009101E3" w:rsidRPr="00FA7F54">
        <w:rPr>
          <w:rFonts w:ascii="Times New Roman" w:hAnsi="Times New Roman" w:cs="Times New Roman"/>
        </w:rPr>
        <w:t>mlrd</w:t>
      </w:r>
      <w:r w:rsidRPr="00FA7F54">
        <w:rPr>
          <w:rFonts w:ascii="Times New Roman" w:hAnsi="Times New Roman" w:cs="Times New Roman"/>
        </w:rPr>
        <w:t xml:space="preserve">. </w:t>
      </w:r>
      <w:r w:rsidR="00350787">
        <w:rPr>
          <w:rFonts w:ascii="Times New Roman" w:hAnsi="Times New Roman" w:cs="Times New Roman"/>
        </w:rPr>
        <w:t xml:space="preserve">kuna </w:t>
      </w:r>
      <w:r w:rsidRPr="00FA7F54">
        <w:rPr>
          <w:rFonts w:ascii="Times New Roman" w:hAnsi="Times New Roman" w:cs="Times New Roman"/>
        </w:rPr>
        <w:t>u 2013. godini odnosno 6,</w:t>
      </w:r>
      <w:r w:rsidR="00350787">
        <w:rPr>
          <w:rFonts w:ascii="Times New Roman" w:hAnsi="Times New Roman" w:cs="Times New Roman"/>
        </w:rPr>
        <w:t>8</w:t>
      </w:r>
      <w:r w:rsidRPr="00FA7F54">
        <w:rPr>
          <w:rFonts w:ascii="Times New Roman" w:hAnsi="Times New Roman" w:cs="Times New Roman"/>
        </w:rPr>
        <w:t xml:space="preserve"> </w:t>
      </w:r>
      <w:r w:rsidR="009101E3" w:rsidRPr="00FA7F54">
        <w:rPr>
          <w:rFonts w:ascii="Times New Roman" w:hAnsi="Times New Roman" w:cs="Times New Roman"/>
        </w:rPr>
        <w:t>mlrd</w:t>
      </w:r>
      <w:r w:rsidRPr="00FA7F54">
        <w:rPr>
          <w:rFonts w:ascii="Times New Roman" w:hAnsi="Times New Roman" w:cs="Times New Roman"/>
        </w:rPr>
        <w:t xml:space="preserve">. </w:t>
      </w:r>
      <w:r w:rsidR="00350787">
        <w:rPr>
          <w:rFonts w:ascii="Times New Roman" w:hAnsi="Times New Roman" w:cs="Times New Roman"/>
        </w:rPr>
        <w:t xml:space="preserve">kuna </w:t>
      </w:r>
      <w:r w:rsidRPr="00FA7F54">
        <w:rPr>
          <w:rFonts w:ascii="Times New Roman" w:hAnsi="Times New Roman" w:cs="Times New Roman"/>
        </w:rPr>
        <w:t>u 2014. godini. Najveći udio u rashodima za usluge čine usluge tekućeg i investicijskog održavanja (u 2014. godini 32</w:t>
      </w:r>
      <w:r w:rsidR="00350787">
        <w:rPr>
          <w:rFonts w:ascii="Times New Roman" w:hAnsi="Times New Roman" w:cs="Times New Roman"/>
        </w:rPr>
        <w:t>%</w:t>
      </w:r>
      <w:r w:rsidRPr="00FA7F54">
        <w:rPr>
          <w:rFonts w:ascii="Times New Roman" w:hAnsi="Times New Roman" w:cs="Times New Roman"/>
        </w:rPr>
        <w:t>), rashodi za intelektualne i osobne usluge (u 2014. godini 16</w:t>
      </w:r>
      <w:r w:rsidR="00350787">
        <w:rPr>
          <w:rFonts w:ascii="Times New Roman" w:hAnsi="Times New Roman" w:cs="Times New Roman"/>
        </w:rPr>
        <w:t>%</w:t>
      </w:r>
      <w:r w:rsidRPr="00FA7F54">
        <w:rPr>
          <w:rFonts w:ascii="Times New Roman" w:hAnsi="Times New Roman" w:cs="Times New Roman"/>
        </w:rPr>
        <w:t>), rashodi za ostale usluge (u 2014. godini 14</w:t>
      </w:r>
      <w:r w:rsidR="00350787">
        <w:rPr>
          <w:rFonts w:ascii="Times New Roman" w:hAnsi="Times New Roman" w:cs="Times New Roman"/>
        </w:rPr>
        <w:t>%</w:t>
      </w:r>
      <w:r w:rsidRPr="00FA7F54">
        <w:rPr>
          <w:rFonts w:ascii="Times New Roman" w:hAnsi="Times New Roman" w:cs="Times New Roman"/>
        </w:rPr>
        <w:t>) te rashodi za zakupnine i najamnine (u 2014. godini 10</w:t>
      </w:r>
      <w:r w:rsidR="00350787">
        <w:rPr>
          <w:rFonts w:ascii="Times New Roman" w:hAnsi="Times New Roman" w:cs="Times New Roman"/>
        </w:rPr>
        <w:t>%</w:t>
      </w:r>
      <w:r w:rsidRPr="00FA7F54">
        <w:rPr>
          <w:rFonts w:ascii="Times New Roman" w:hAnsi="Times New Roman" w:cs="Times New Roman"/>
        </w:rPr>
        <w:t xml:space="preserve">). </w:t>
      </w:r>
    </w:p>
    <w:p w:rsidR="00CA6688" w:rsidRDefault="00CA6688" w:rsidP="003E325D">
      <w:pPr>
        <w:pStyle w:val="Opisslike"/>
        <w:spacing w:after="0"/>
        <w:rPr>
          <w:sz w:val="20"/>
          <w:szCs w:val="20"/>
        </w:rPr>
      </w:pPr>
    </w:p>
    <w:p w:rsidR="00581FE5" w:rsidRDefault="00581FE5" w:rsidP="006B7B79">
      <w:pPr>
        <w:pStyle w:val="Opisslike"/>
        <w:spacing w:after="0"/>
        <w:jc w:val="both"/>
        <w:rPr>
          <w:rFonts w:ascii="Times New Roman" w:hAnsi="Times New Roman" w:cs="Times New Roman"/>
          <w:sz w:val="20"/>
          <w:szCs w:val="20"/>
        </w:rPr>
      </w:pPr>
    </w:p>
    <w:p w:rsidR="00581FE5" w:rsidRDefault="00581FE5" w:rsidP="006B7B79">
      <w:pPr>
        <w:pStyle w:val="Opisslike"/>
        <w:spacing w:after="0"/>
        <w:jc w:val="both"/>
        <w:rPr>
          <w:rFonts w:ascii="Times New Roman" w:hAnsi="Times New Roman" w:cs="Times New Roman"/>
          <w:sz w:val="20"/>
          <w:szCs w:val="20"/>
        </w:rPr>
      </w:pPr>
    </w:p>
    <w:p w:rsidR="00581FE5" w:rsidRDefault="00581FE5" w:rsidP="006B7B79">
      <w:pPr>
        <w:pStyle w:val="Opisslike"/>
        <w:spacing w:after="0"/>
        <w:jc w:val="both"/>
        <w:rPr>
          <w:rFonts w:ascii="Times New Roman" w:hAnsi="Times New Roman" w:cs="Times New Roman"/>
          <w:sz w:val="20"/>
          <w:szCs w:val="20"/>
        </w:rPr>
      </w:pPr>
    </w:p>
    <w:p w:rsidR="00581FE5" w:rsidRDefault="00581FE5" w:rsidP="006B7B79">
      <w:pPr>
        <w:pStyle w:val="Opisslike"/>
        <w:spacing w:after="0"/>
        <w:jc w:val="both"/>
        <w:rPr>
          <w:rFonts w:ascii="Times New Roman" w:hAnsi="Times New Roman" w:cs="Times New Roman"/>
          <w:sz w:val="20"/>
          <w:szCs w:val="20"/>
        </w:rPr>
      </w:pPr>
    </w:p>
    <w:p w:rsidR="00581FE5" w:rsidRDefault="00581FE5" w:rsidP="006B7B79">
      <w:pPr>
        <w:pStyle w:val="Opisslike"/>
        <w:spacing w:after="0"/>
        <w:jc w:val="both"/>
        <w:rPr>
          <w:rFonts w:ascii="Times New Roman" w:hAnsi="Times New Roman" w:cs="Times New Roman"/>
          <w:sz w:val="20"/>
          <w:szCs w:val="20"/>
        </w:rPr>
      </w:pPr>
    </w:p>
    <w:p w:rsidR="00581FE5" w:rsidRDefault="00581FE5" w:rsidP="006B7B79">
      <w:pPr>
        <w:pStyle w:val="Opisslike"/>
        <w:spacing w:after="0"/>
        <w:jc w:val="both"/>
        <w:rPr>
          <w:rFonts w:ascii="Times New Roman" w:hAnsi="Times New Roman" w:cs="Times New Roman"/>
          <w:sz w:val="20"/>
          <w:szCs w:val="20"/>
        </w:rPr>
      </w:pPr>
    </w:p>
    <w:p w:rsidR="00581FE5" w:rsidRDefault="00581FE5" w:rsidP="006B7B79">
      <w:pPr>
        <w:pStyle w:val="Opisslike"/>
        <w:spacing w:after="0"/>
        <w:jc w:val="both"/>
        <w:rPr>
          <w:rFonts w:ascii="Times New Roman" w:hAnsi="Times New Roman" w:cs="Times New Roman"/>
          <w:sz w:val="20"/>
          <w:szCs w:val="20"/>
        </w:rPr>
      </w:pPr>
    </w:p>
    <w:p w:rsidR="00581FE5" w:rsidRDefault="00581FE5" w:rsidP="006B7B79">
      <w:pPr>
        <w:pStyle w:val="Opisslike"/>
        <w:spacing w:after="0"/>
        <w:jc w:val="both"/>
        <w:rPr>
          <w:rFonts w:ascii="Times New Roman" w:hAnsi="Times New Roman" w:cs="Times New Roman"/>
          <w:sz w:val="20"/>
          <w:szCs w:val="20"/>
        </w:rPr>
      </w:pPr>
    </w:p>
    <w:p w:rsidR="00581FE5" w:rsidRDefault="00581FE5" w:rsidP="006B7B79">
      <w:pPr>
        <w:pStyle w:val="Opisslike"/>
        <w:spacing w:after="0"/>
        <w:jc w:val="both"/>
        <w:rPr>
          <w:rFonts w:ascii="Times New Roman" w:hAnsi="Times New Roman" w:cs="Times New Roman"/>
          <w:sz w:val="20"/>
          <w:szCs w:val="20"/>
        </w:rPr>
      </w:pPr>
    </w:p>
    <w:p w:rsidR="009835A2" w:rsidRPr="00350787" w:rsidRDefault="009835A2" w:rsidP="006B7B79">
      <w:pPr>
        <w:pStyle w:val="Opisslike"/>
        <w:spacing w:after="0"/>
        <w:jc w:val="both"/>
        <w:rPr>
          <w:rFonts w:ascii="Times New Roman" w:hAnsi="Times New Roman" w:cs="Times New Roman"/>
          <w:sz w:val="20"/>
          <w:szCs w:val="20"/>
        </w:rPr>
      </w:pPr>
      <w:bookmarkStart w:id="67" w:name="_Toc436402277"/>
      <w:r w:rsidRPr="006B7B79">
        <w:rPr>
          <w:rFonts w:ascii="Times New Roman" w:hAnsi="Times New Roman" w:cs="Times New Roman"/>
          <w:sz w:val="20"/>
          <w:szCs w:val="20"/>
        </w:rPr>
        <w:lastRenderedPageBreak/>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30</w:t>
      </w:r>
      <w:r w:rsidR="002D0343" w:rsidRPr="006B7B79">
        <w:rPr>
          <w:rFonts w:ascii="Times New Roman" w:hAnsi="Times New Roman" w:cs="Times New Roman"/>
          <w:sz w:val="20"/>
          <w:szCs w:val="20"/>
        </w:rPr>
        <w:fldChar w:fldCharType="end"/>
      </w:r>
      <w:r w:rsidR="003E325D" w:rsidRPr="006B7B79">
        <w:rPr>
          <w:rFonts w:ascii="Times New Roman" w:hAnsi="Times New Roman" w:cs="Times New Roman"/>
          <w:sz w:val="20"/>
          <w:szCs w:val="20"/>
        </w:rPr>
        <w:t xml:space="preserve">: Rashodi za usluge </w:t>
      </w:r>
      <w:r w:rsidR="00F35550" w:rsidRPr="006B7B79">
        <w:rPr>
          <w:rFonts w:ascii="Times New Roman" w:hAnsi="Times New Roman" w:cs="Times New Roman"/>
          <w:sz w:val="20"/>
          <w:szCs w:val="20"/>
        </w:rPr>
        <w:t>prema podacima iskazanim u financijskim izvještajima proračunskih i izvanproračunskih korisnika za 2013. i 2014. godinu</w:t>
      </w:r>
      <w:bookmarkEnd w:id="67"/>
    </w:p>
    <w:p w:rsidR="00CF000D" w:rsidRPr="00FA7F54" w:rsidRDefault="00CF000D" w:rsidP="00350787">
      <w:pPr>
        <w:spacing w:line="240" w:lineRule="auto"/>
        <w:jc w:val="center"/>
        <w:rPr>
          <w:rFonts w:ascii="Times New Roman" w:hAnsi="Times New Roman" w:cs="Times New Roman"/>
        </w:rPr>
      </w:pPr>
      <w:r w:rsidRPr="00FA7F54">
        <w:rPr>
          <w:noProof/>
          <w:lang w:eastAsia="hr-HR"/>
        </w:rPr>
        <w:drawing>
          <wp:inline distT="0" distB="0" distL="0" distR="0" wp14:anchorId="7881CCD9" wp14:editId="269C8EE7">
            <wp:extent cx="5760720" cy="1828800"/>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1828800"/>
                    </a:xfrm>
                    <a:prstGeom prst="rect">
                      <a:avLst/>
                    </a:prstGeom>
                    <a:noFill/>
                    <a:ln>
                      <a:noFill/>
                    </a:ln>
                  </pic:spPr>
                </pic:pic>
              </a:graphicData>
            </a:graphic>
          </wp:inline>
        </w:drawing>
      </w:r>
    </w:p>
    <w:p w:rsidR="00316641" w:rsidRPr="00FA7F54" w:rsidRDefault="00CF000D" w:rsidP="00CF000D">
      <w:pPr>
        <w:spacing w:line="240" w:lineRule="auto"/>
        <w:jc w:val="both"/>
        <w:rPr>
          <w:rFonts w:ascii="Times New Roman" w:hAnsi="Times New Roman" w:cs="Times New Roman"/>
        </w:rPr>
      </w:pPr>
      <w:r w:rsidRPr="00FA7F54">
        <w:rPr>
          <w:rFonts w:ascii="Times New Roman" w:hAnsi="Times New Roman" w:cs="Times New Roman"/>
        </w:rPr>
        <w:t xml:space="preserve">U državnom se proračunu rashodi za </w:t>
      </w:r>
      <w:r w:rsidR="00DD2B33" w:rsidRPr="00FA7F54">
        <w:rPr>
          <w:rFonts w:ascii="Times New Roman" w:hAnsi="Times New Roman" w:cs="Times New Roman"/>
        </w:rPr>
        <w:t>usluge</w:t>
      </w:r>
      <w:r w:rsidRPr="00FA7F54">
        <w:rPr>
          <w:rFonts w:ascii="Times New Roman" w:hAnsi="Times New Roman" w:cs="Times New Roman"/>
        </w:rPr>
        <w:t xml:space="preserve"> kreću se na ra</w:t>
      </w:r>
      <w:r w:rsidR="006454AA" w:rsidRPr="00FA7F54">
        <w:rPr>
          <w:rFonts w:ascii="Times New Roman" w:hAnsi="Times New Roman" w:cs="Times New Roman"/>
        </w:rPr>
        <w:t>zini 4,541</w:t>
      </w:r>
      <w:r w:rsidRPr="00FA7F54">
        <w:rPr>
          <w:rFonts w:ascii="Times New Roman" w:hAnsi="Times New Roman" w:cs="Times New Roman"/>
        </w:rPr>
        <w:t xml:space="preserve"> ml</w:t>
      </w:r>
      <w:r w:rsidR="00C90564" w:rsidRPr="00FA7F54">
        <w:rPr>
          <w:rFonts w:ascii="Times New Roman" w:hAnsi="Times New Roman" w:cs="Times New Roman"/>
        </w:rPr>
        <w:t>r</w:t>
      </w:r>
      <w:r w:rsidR="006454AA" w:rsidRPr="00FA7F54">
        <w:rPr>
          <w:rFonts w:ascii="Times New Roman" w:hAnsi="Times New Roman" w:cs="Times New Roman"/>
        </w:rPr>
        <w:t>d. u 2013. odnosno 4,449</w:t>
      </w:r>
      <w:r w:rsidRPr="00FA7F54">
        <w:rPr>
          <w:rFonts w:ascii="Times New Roman" w:hAnsi="Times New Roman" w:cs="Times New Roman"/>
        </w:rPr>
        <w:t xml:space="preserve"> ml</w:t>
      </w:r>
      <w:r w:rsidR="00C90564" w:rsidRPr="00FA7F54">
        <w:rPr>
          <w:rFonts w:ascii="Times New Roman" w:hAnsi="Times New Roman" w:cs="Times New Roman"/>
        </w:rPr>
        <w:t>r</w:t>
      </w:r>
      <w:r w:rsidRPr="00FA7F54">
        <w:rPr>
          <w:rFonts w:ascii="Times New Roman" w:hAnsi="Times New Roman" w:cs="Times New Roman"/>
        </w:rPr>
        <w:t xml:space="preserve">d. </w:t>
      </w:r>
      <w:r w:rsidR="006454AA" w:rsidRPr="00FA7F54">
        <w:rPr>
          <w:rFonts w:ascii="Times New Roman" w:hAnsi="Times New Roman" w:cs="Times New Roman"/>
        </w:rPr>
        <w:t>u 2014. godini od čega se oko 90</w:t>
      </w:r>
      <w:r w:rsidRPr="00FA7F54">
        <w:rPr>
          <w:rFonts w:ascii="Times New Roman" w:hAnsi="Times New Roman" w:cs="Times New Roman"/>
        </w:rPr>
        <w:t xml:space="preserve">% financira iz izvora u limitu. U 2015. godini, s uključivanjem vlastitih i namjenskih prihoda u državni proračun, razvidno je povećanje rashoda za </w:t>
      </w:r>
      <w:r w:rsidR="00DD2B33" w:rsidRPr="00FA7F54">
        <w:rPr>
          <w:rFonts w:ascii="Times New Roman" w:hAnsi="Times New Roman" w:cs="Times New Roman"/>
        </w:rPr>
        <w:t>usluge</w:t>
      </w:r>
      <w:r w:rsidRPr="00FA7F54">
        <w:rPr>
          <w:rFonts w:ascii="Times New Roman" w:hAnsi="Times New Roman" w:cs="Times New Roman"/>
        </w:rPr>
        <w:t xml:space="preserve"> za </w:t>
      </w:r>
      <w:r w:rsidR="006454AA" w:rsidRPr="00FA7F54">
        <w:rPr>
          <w:rFonts w:ascii="Times New Roman" w:hAnsi="Times New Roman" w:cs="Times New Roman"/>
        </w:rPr>
        <w:t>23</w:t>
      </w:r>
      <w:r w:rsidR="00350787">
        <w:rPr>
          <w:rFonts w:ascii="Times New Roman" w:hAnsi="Times New Roman" w:cs="Times New Roman"/>
        </w:rPr>
        <w:t>%</w:t>
      </w:r>
      <w:r w:rsidR="006454AA" w:rsidRPr="00FA7F54">
        <w:rPr>
          <w:rFonts w:ascii="Times New Roman" w:hAnsi="Times New Roman" w:cs="Times New Roman"/>
        </w:rPr>
        <w:t xml:space="preserve"> ili 1</w:t>
      </w:r>
      <w:r w:rsidR="00350787">
        <w:rPr>
          <w:rFonts w:ascii="Times New Roman" w:hAnsi="Times New Roman" w:cs="Times New Roman"/>
        </w:rPr>
        <w:t>mlrd.</w:t>
      </w:r>
      <w:r w:rsidRPr="00FA7F54">
        <w:rPr>
          <w:rFonts w:ascii="Times New Roman" w:hAnsi="Times New Roman" w:cs="Times New Roman"/>
        </w:rPr>
        <w:t xml:space="preserve"> kuna. </w:t>
      </w:r>
    </w:p>
    <w:p w:rsidR="009835A2" w:rsidRPr="00350787" w:rsidRDefault="009835A2" w:rsidP="006B7B79">
      <w:pPr>
        <w:pStyle w:val="Opisslike"/>
        <w:spacing w:after="0"/>
        <w:jc w:val="both"/>
        <w:rPr>
          <w:rFonts w:ascii="Times New Roman" w:hAnsi="Times New Roman" w:cs="Times New Roman"/>
          <w:sz w:val="20"/>
          <w:szCs w:val="20"/>
        </w:rPr>
      </w:pPr>
      <w:bookmarkStart w:id="68" w:name="_Toc436402278"/>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31</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 xml:space="preserve">: </w:t>
      </w:r>
      <w:r w:rsidR="00FB0C57" w:rsidRPr="006B7B79">
        <w:rPr>
          <w:rFonts w:ascii="Times New Roman" w:hAnsi="Times New Roman" w:cs="Times New Roman"/>
          <w:sz w:val="20"/>
          <w:szCs w:val="20"/>
        </w:rPr>
        <w:t xml:space="preserve">Rashodi za usluge </w:t>
      </w:r>
      <w:r w:rsidR="00BA088B" w:rsidRPr="006B7B79">
        <w:rPr>
          <w:rFonts w:ascii="Times New Roman" w:hAnsi="Times New Roman" w:cs="Times New Roman"/>
          <w:sz w:val="20"/>
          <w:szCs w:val="20"/>
        </w:rPr>
        <w:t>prema podacima iskazanim u državnom proračunu – izvršenje za 2013., 2014. i plan za 2015. (u mil.</w:t>
      </w:r>
      <w:r w:rsidR="00350787">
        <w:rPr>
          <w:rFonts w:ascii="Times New Roman" w:hAnsi="Times New Roman" w:cs="Times New Roman"/>
          <w:sz w:val="20"/>
          <w:szCs w:val="20"/>
        </w:rPr>
        <w:t xml:space="preserve"> kuna</w:t>
      </w:r>
      <w:r w:rsidR="00BA088B" w:rsidRPr="006B7B79">
        <w:rPr>
          <w:rFonts w:ascii="Times New Roman" w:hAnsi="Times New Roman" w:cs="Times New Roman"/>
          <w:sz w:val="20"/>
          <w:szCs w:val="20"/>
        </w:rPr>
        <w:t>)</w:t>
      </w:r>
      <w:bookmarkEnd w:id="68"/>
    </w:p>
    <w:tbl>
      <w:tblPr>
        <w:tblW w:w="9240" w:type="dxa"/>
        <w:jc w:val="center"/>
        <w:tblInd w:w="-27" w:type="dxa"/>
        <w:tblLook w:val="04A0" w:firstRow="1" w:lastRow="0" w:firstColumn="1" w:lastColumn="0" w:noHBand="0" w:noVBand="1"/>
      </w:tblPr>
      <w:tblGrid>
        <w:gridCol w:w="1240"/>
        <w:gridCol w:w="2440"/>
        <w:gridCol w:w="1380"/>
        <w:gridCol w:w="1380"/>
        <w:gridCol w:w="820"/>
        <w:gridCol w:w="1160"/>
        <w:gridCol w:w="820"/>
      </w:tblGrid>
      <w:tr w:rsidR="00B074DB" w:rsidRPr="003603DE" w:rsidTr="00350787">
        <w:trPr>
          <w:trHeight w:val="499"/>
          <w:jc w:val="center"/>
        </w:trPr>
        <w:tc>
          <w:tcPr>
            <w:tcW w:w="1240" w:type="dxa"/>
            <w:tcBorders>
              <w:top w:val="single" w:sz="4" w:space="0" w:color="000080"/>
              <w:left w:val="single" w:sz="4" w:space="0" w:color="000080"/>
              <w:bottom w:val="single" w:sz="4" w:space="0" w:color="000080"/>
              <w:right w:val="single" w:sz="4" w:space="0" w:color="000080"/>
            </w:tcBorders>
            <w:shd w:val="clear" w:color="000000" w:fill="DCE6F1"/>
            <w:noWrap/>
            <w:vAlign w:val="center"/>
            <w:hideMark/>
          </w:tcPr>
          <w:p w:rsidR="00B074DB" w:rsidRPr="003603DE" w:rsidRDefault="00B074DB" w:rsidP="003603DE">
            <w:pPr>
              <w:spacing w:after="0" w:line="240" w:lineRule="auto"/>
              <w:ind w:firstLineChars="100" w:firstLine="160"/>
              <w:rPr>
                <w:rFonts w:ascii="Arial" w:eastAsia="Times New Roman" w:hAnsi="Arial" w:cs="Arial"/>
                <w:sz w:val="16"/>
                <w:szCs w:val="16"/>
                <w:lang w:eastAsia="hr-HR"/>
              </w:rPr>
            </w:pPr>
            <w:r w:rsidRPr="003603DE">
              <w:rPr>
                <w:rFonts w:ascii="Arial" w:eastAsia="Times New Roman" w:hAnsi="Arial" w:cs="Arial"/>
                <w:sz w:val="16"/>
                <w:szCs w:val="16"/>
                <w:lang w:eastAsia="hr-HR"/>
              </w:rPr>
              <w:t> </w:t>
            </w:r>
          </w:p>
        </w:tc>
        <w:tc>
          <w:tcPr>
            <w:tcW w:w="2440" w:type="dxa"/>
            <w:tcBorders>
              <w:top w:val="single" w:sz="4" w:space="0" w:color="000080"/>
              <w:left w:val="nil"/>
              <w:bottom w:val="single" w:sz="4" w:space="0" w:color="000080"/>
              <w:right w:val="single" w:sz="4" w:space="0" w:color="000080"/>
            </w:tcBorders>
            <w:shd w:val="clear" w:color="000000" w:fill="DCE6F1"/>
            <w:noWrap/>
            <w:vAlign w:val="center"/>
            <w:hideMark/>
          </w:tcPr>
          <w:p w:rsidR="00B074DB" w:rsidRPr="003603DE" w:rsidRDefault="00B074DB" w:rsidP="003603DE">
            <w:pPr>
              <w:spacing w:after="0" w:line="240" w:lineRule="auto"/>
              <w:ind w:firstLineChars="100" w:firstLine="160"/>
              <w:rPr>
                <w:rFonts w:ascii="Arial" w:eastAsia="Times New Roman" w:hAnsi="Arial" w:cs="Arial"/>
                <w:sz w:val="16"/>
                <w:szCs w:val="16"/>
                <w:lang w:eastAsia="hr-HR"/>
              </w:rPr>
            </w:pPr>
            <w:r w:rsidRPr="003603DE">
              <w:rPr>
                <w:rFonts w:ascii="Arial" w:eastAsia="Times New Roman" w:hAnsi="Arial" w:cs="Arial"/>
                <w:sz w:val="16"/>
                <w:szCs w:val="16"/>
                <w:lang w:eastAsia="hr-HR"/>
              </w:rPr>
              <w:t> </w:t>
            </w:r>
          </w:p>
        </w:tc>
        <w:tc>
          <w:tcPr>
            <w:tcW w:w="1380" w:type="dxa"/>
            <w:tcBorders>
              <w:top w:val="single" w:sz="4" w:space="0" w:color="000080"/>
              <w:left w:val="nil"/>
              <w:bottom w:val="single" w:sz="4" w:space="0" w:color="000080"/>
              <w:right w:val="single" w:sz="4" w:space="0" w:color="000080"/>
            </w:tcBorders>
            <w:shd w:val="clear" w:color="000000" w:fill="DCE6F1"/>
            <w:vAlign w:val="center"/>
            <w:hideMark/>
          </w:tcPr>
          <w:p w:rsidR="00B074DB" w:rsidRPr="003603DE" w:rsidRDefault="00B074DB" w:rsidP="006B7B79">
            <w:pPr>
              <w:spacing w:after="0" w:line="240" w:lineRule="auto"/>
              <w:jc w:val="center"/>
              <w:rPr>
                <w:rFonts w:ascii="Arial" w:eastAsia="Times New Roman" w:hAnsi="Arial" w:cs="Arial"/>
                <w:b/>
                <w:bCs/>
                <w:sz w:val="16"/>
                <w:szCs w:val="16"/>
                <w:lang w:eastAsia="hr-HR"/>
              </w:rPr>
            </w:pPr>
            <w:r w:rsidRPr="003603DE">
              <w:rPr>
                <w:rFonts w:ascii="Arial" w:eastAsia="Times New Roman" w:hAnsi="Arial" w:cs="Arial"/>
                <w:b/>
                <w:bCs/>
                <w:sz w:val="16"/>
                <w:szCs w:val="16"/>
                <w:lang w:eastAsia="hr-HR"/>
              </w:rPr>
              <w:t>Izvršenje 2013.</w:t>
            </w:r>
          </w:p>
        </w:tc>
        <w:tc>
          <w:tcPr>
            <w:tcW w:w="1380" w:type="dxa"/>
            <w:tcBorders>
              <w:top w:val="single" w:sz="4" w:space="0" w:color="000080"/>
              <w:left w:val="nil"/>
              <w:bottom w:val="single" w:sz="4" w:space="0" w:color="000080"/>
              <w:right w:val="single" w:sz="4" w:space="0" w:color="000080"/>
            </w:tcBorders>
            <w:shd w:val="clear" w:color="000000" w:fill="DCE6F1"/>
            <w:vAlign w:val="center"/>
            <w:hideMark/>
          </w:tcPr>
          <w:p w:rsidR="00B074DB" w:rsidRPr="003603DE" w:rsidRDefault="00B074DB" w:rsidP="006B7B79">
            <w:pPr>
              <w:spacing w:after="0" w:line="240" w:lineRule="auto"/>
              <w:jc w:val="center"/>
              <w:rPr>
                <w:rFonts w:ascii="Arial" w:eastAsia="Times New Roman" w:hAnsi="Arial" w:cs="Arial"/>
                <w:b/>
                <w:bCs/>
                <w:sz w:val="16"/>
                <w:szCs w:val="16"/>
                <w:lang w:eastAsia="hr-HR"/>
              </w:rPr>
            </w:pPr>
            <w:r w:rsidRPr="003603DE">
              <w:rPr>
                <w:rFonts w:ascii="Arial" w:eastAsia="Times New Roman" w:hAnsi="Arial" w:cs="Arial"/>
                <w:b/>
                <w:bCs/>
                <w:sz w:val="16"/>
                <w:szCs w:val="16"/>
                <w:lang w:eastAsia="hr-HR"/>
              </w:rPr>
              <w:t>Izvršenje 2014.</w:t>
            </w:r>
          </w:p>
        </w:tc>
        <w:tc>
          <w:tcPr>
            <w:tcW w:w="820" w:type="dxa"/>
            <w:tcBorders>
              <w:top w:val="single" w:sz="4" w:space="0" w:color="000080"/>
              <w:left w:val="nil"/>
              <w:bottom w:val="single" w:sz="4" w:space="0" w:color="000080"/>
              <w:right w:val="single" w:sz="4" w:space="0" w:color="000080"/>
            </w:tcBorders>
            <w:shd w:val="clear" w:color="000000" w:fill="DCE6F1"/>
            <w:vAlign w:val="center"/>
            <w:hideMark/>
          </w:tcPr>
          <w:p w:rsidR="00B074DB" w:rsidRPr="003603DE" w:rsidRDefault="00B074DB" w:rsidP="006B7B79">
            <w:pPr>
              <w:spacing w:after="0" w:line="240" w:lineRule="auto"/>
              <w:jc w:val="center"/>
              <w:rPr>
                <w:rFonts w:ascii="Arial" w:eastAsia="Times New Roman" w:hAnsi="Arial" w:cs="Arial"/>
                <w:b/>
                <w:bCs/>
                <w:sz w:val="16"/>
                <w:szCs w:val="16"/>
                <w:lang w:eastAsia="hr-HR"/>
              </w:rPr>
            </w:pPr>
            <w:r w:rsidRPr="003603DE">
              <w:rPr>
                <w:rFonts w:ascii="Arial" w:eastAsia="Times New Roman" w:hAnsi="Arial" w:cs="Arial"/>
                <w:b/>
                <w:bCs/>
                <w:sz w:val="16"/>
                <w:szCs w:val="16"/>
                <w:lang w:eastAsia="hr-HR"/>
              </w:rPr>
              <w:t>Indeks</w:t>
            </w:r>
          </w:p>
        </w:tc>
        <w:tc>
          <w:tcPr>
            <w:tcW w:w="1160" w:type="dxa"/>
            <w:tcBorders>
              <w:top w:val="single" w:sz="4" w:space="0" w:color="000080"/>
              <w:left w:val="nil"/>
              <w:bottom w:val="single" w:sz="4" w:space="0" w:color="000080"/>
              <w:right w:val="single" w:sz="4" w:space="0" w:color="000080"/>
            </w:tcBorders>
            <w:shd w:val="clear" w:color="000000" w:fill="DCE6F1"/>
            <w:vAlign w:val="center"/>
            <w:hideMark/>
          </w:tcPr>
          <w:p w:rsidR="00B074DB" w:rsidRPr="003603DE" w:rsidRDefault="00B074DB" w:rsidP="006B7B79">
            <w:pPr>
              <w:spacing w:after="0" w:line="240" w:lineRule="auto"/>
              <w:jc w:val="center"/>
              <w:rPr>
                <w:rFonts w:ascii="Arial" w:eastAsia="Times New Roman" w:hAnsi="Arial" w:cs="Arial"/>
                <w:b/>
                <w:bCs/>
                <w:sz w:val="16"/>
                <w:szCs w:val="16"/>
                <w:lang w:eastAsia="hr-HR"/>
              </w:rPr>
            </w:pPr>
            <w:r w:rsidRPr="003603DE">
              <w:rPr>
                <w:rFonts w:ascii="Arial" w:eastAsia="Times New Roman" w:hAnsi="Arial" w:cs="Arial"/>
                <w:b/>
                <w:bCs/>
                <w:sz w:val="16"/>
                <w:szCs w:val="16"/>
                <w:lang w:eastAsia="hr-HR"/>
              </w:rPr>
              <w:t>Tekući plan</w:t>
            </w:r>
            <w:r w:rsidRPr="003603DE">
              <w:rPr>
                <w:rFonts w:ascii="Arial" w:eastAsia="Times New Roman" w:hAnsi="Arial" w:cs="Arial"/>
                <w:b/>
                <w:bCs/>
                <w:sz w:val="16"/>
                <w:szCs w:val="16"/>
                <w:lang w:eastAsia="hr-HR"/>
              </w:rPr>
              <w:br/>
              <w:t>2015.</w:t>
            </w:r>
          </w:p>
        </w:tc>
        <w:tc>
          <w:tcPr>
            <w:tcW w:w="820" w:type="dxa"/>
            <w:tcBorders>
              <w:top w:val="single" w:sz="4" w:space="0" w:color="000080"/>
              <w:left w:val="nil"/>
              <w:bottom w:val="single" w:sz="4" w:space="0" w:color="000080"/>
              <w:right w:val="single" w:sz="4" w:space="0" w:color="000080"/>
            </w:tcBorders>
            <w:shd w:val="clear" w:color="000000" w:fill="DCE6F1"/>
            <w:vAlign w:val="center"/>
            <w:hideMark/>
          </w:tcPr>
          <w:p w:rsidR="00B074DB" w:rsidRPr="003603DE" w:rsidRDefault="00B074DB" w:rsidP="006B7B79">
            <w:pPr>
              <w:spacing w:after="0" w:line="240" w:lineRule="auto"/>
              <w:jc w:val="center"/>
              <w:rPr>
                <w:rFonts w:ascii="Arial" w:eastAsia="Times New Roman" w:hAnsi="Arial" w:cs="Arial"/>
                <w:b/>
                <w:bCs/>
                <w:sz w:val="16"/>
                <w:szCs w:val="16"/>
                <w:lang w:eastAsia="hr-HR"/>
              </w:rPr>
            </w:pPr>
            <w:r w:rsidRPr="003603DE">
              <w:rPr>
                <w:rFonts w:ascii="Arial" w:eastAsia="Times New Roman" w:hAnsi="Arial" w:cs="Arial"/>
                <w:b/>
                <w:bCs/>
                <w:sz w:val="16"/>
                <w:szCs w:val="16"/>
                <w:lang w:eastAsia="hr-HR"/>
              </w:rPr>
              <w:t>Indeks</w:t>
            </w:r>
          </w:p>
        </w:tc>
      </w:tr>
      <w:tr w:rsidR="00B074DB" w:rsidRPr="003603DE" w:rsidTr="00350787">
        <w:trPr>
          <w:trHeight w:val="300"/>
          <w:jc w:val="center"/>
        </w:trPr>
        <w:tc>
          <w:tcPr>
            <w:tcW w:w="1240" w:type="dxa"/>
            <w:tcBorders>
              <w:top w:val="nil"/>
              <w:left w:val="single" w:sz="4" w:space="0" w:color="000080"/>
              <w:bottom w:val="single" w:sz="4" w:space="0" w:color="000080"/>
              <w:right w:val="single" w:sz="4" w:space="0" w:color="000080"/>
            </w:tcBorders>
            <w:shd w:val="clear" w:color="000000" w:fill="DCE6F1"/>
            <w:noWrap/>
            <w:vAlign w:val="center"/>
            <w:hideMark/>
          </w:tcPr>
          <w:p w:rsidR="00B074DB" w:rsidRPr="003603DE" w:rsidRDefault="00B074DB" w:rsidP="003603DE">
            <w:pPr>
              <w:spacing w:after="0" w:line="240" w:lineRule="auto"/>
              <w:ind w:firstLineChars="200" w:firstLine="320"/>
              <w:rPr>
                <w:rFonts w:ascii="Arial" w:eastAsia="Times New Roman" w:hAnsi="Arial" w:cs="Arial"/>
                <w:sz w:val="16"/>
                <w:szCs w:val="16"/>
                <w:lang w:eastAsia="hr-HR"/>
              </w:rPr>
            </w:pPr>
            <w:r w:rsidRPr="003603DE">
              <w:rPr>
                <w:rFonts w:ascii="Arial" w:eastAsia="Times New Roman" w:hAnsi="Arial" w:cs="Arial"/>
                <w:sz w:val="16"/>
                <w:szCs w:val="16"/>
                <w:lang w:eastAsia="hr-HR"/>
              </w:rPr>
              <w:t>- 323</w:t>
            </w:r>
          </w:p>
        </w:tc>
        <w:tc>
          <w:tcPr>
            <w:tcW w:w="2440" w:type="dxa"/>
            <w:tcBorders>
              <w:top w:val="nil"/>
              <w:left w:val="nil"/>
              <w:bottom w:val="single" w:sz="4" w:space="0" w:color="000080"/>
              <w:right w:val="single" w:sz="4" w:space="0" w:color="000080"/>
            </w:tcBorders>
            <w:shd w:val="clear" w:color="000000" w:fill="DCE6F1"/>
            <w:noWrap/>
            <w:vAlign w:val="center"/>
            <w:hideMark/>
          </w:tcPr>
          <w:p w:rsidR="00B074DB" w:rsidRPr="003603DE" w:rsidRDefault="00B074DB" w:rsidP="003603DE">
            <w:pPr>
              <w:spacing w:after="0" w:line="240" w:lineRule="auto"/>
              <w:ind w:firstLineChars="100" w:firstLine="160"/>
              <w:rPr>
                <w:rFonts w:ascii="Arial" w:eastAsia="Times New Roman" w:hAnsi="Arial" w:cs="Arial"/>
                <w:sz w:val="16"/>
                <w:szCs w:val="16"/>
                <w:lang w:eastAsia="hr-HR"/>
              </w:rPr>
            </w:pPr>
            <w:r w:rsidRPr="003603DE">
              <w:rPr>
                <w:rFonts w:ascii="Arial" w:eastAsia="Times New Roman" w:hAnsi="Arial" w:cs="Arial"/>
                <w:sz w:val="16"/>
                <w:szCs w:val="16"/>
                <w:lang w:eastAsia="hr-HR"/>
              </w:rPr>
              <w:t>Rashodi za usluge</w:t>
            </w:r>
          </w:p>
        </w:tc>
        <w:tc>
          <w:tcPr>
            <w:tcW w:w="1380" w:type="dxa"/>
            <w:tcBorders>
              <w:top w:val="nil"/>
              <w:left w:val="nil"/>
              <w:bottom w:val="single" w:sz="4" w:space="0" w:color="000080"/>
              <w:right w:val="single" w:sz="4" w:space="0" w:color="000080"/>
            </w:tcBorders>
            <w:shd w:val="clear" w:color="000000" w:fill="DCE6F1"/>
            <w:noWrap/>
            <w:vAlign w:val="center"/>
            <w:hideMark/>
          </w:tcPr>
          <w:p w:rsidR="00B074DB" w:rsidRPr="003603DE" w:rsidRDefault="00B074DB" w:rsidP="00B074DB">
            <w:pPr>
              <w:spacing w:after="0" w:line="240" w:lineRule="auto"/>
              <w:jc w:val="right"/>
              <w:rPr>
                <w:rFonts w:ascii="Arial" w:eastAsia="Times New Roman" w:hAnsi="Arial" w:cs="Arial"/>
                <w:b/>
                <w:bCs/>
                <w:color w:val="000000"/>
                <w:sz w:val="16"/>
                <w:szCs w:val="16"/>
                <w:lang w:eastAsia="hr-HR"/>
              </w:rPr>
            </w:pPr>
            <w:r w:rsidRPr="003603DE">
              <w:rPr>
                <w:rFonts w:ascii="Arial" w:eastAsia="Times New Roman" w:hAnsi="Arial" w:cs="Arial"/>
                <w:b/>
                <w:bCs/>
                <w:color w:val="000000"/>
                <w:sz w:val="16"/>
                <w:szCs w:val="16"/>
                <w:lang w:eastAsia="hr-HR"/>
              </w:rPr>
              <w:t>4.541,036</w:t>
            </w:r>
          </w:p>
        </w:tc>
        <w:tc>
          <w:tcPr>
            <w:tcW w:w="1380" w:type="dxa"/>
            <w:tcBorders>
              <w:top w:val="nil"/>
              <w:left w:val="nil"/>
              <w:bottom w:val="single" w:sz="4" w:space="0" w:color="000080"/>
              <w:right w:val="single" w:sz="4" w:space="0" w:color="000080"/>
            </w:tcBorders>
            <w:shd w:val="clear" w:color="000000" w:fill="DCE6F1"/>
            <w:noWrap/>
            <w:vAlign w:val="center"/>
            <w:hideMark/>
          </w:tcPr>
          <w:p w:rsidR="00B074DB" w:rsidRPr="003603DE" w:rsidRDefault="00B074DB" w:rsidP="00B074DB">
            <w:pPr>
              <w:spacing w:after="0" w:line="240" w:lineRule="auto"/>
              <w:jc w:val="right"/>
              <w:rPr>
                <w:rFonts w:ascii="Arial" w:eastAsia="Times New Roman" w:hAnsi="Arial" w:cs="Arial"/>
                <w:b/>
                <w:bCs/>
                <w:color w:val="000000"/>
                <w:sz w:val="16"/>
                <w:szCs w:val="16"/>
                <w:lang w:eastAsia="hr-HR"/>
              </w:rPr>
            </w:pPr>
            <w:r w:rsidRPr="003603DE">
              <w:rPr>
                <w:rFonts w:ascii="Arial" w:eastAsia="Times New Roman" w:hAnsi="Arial" w:cs="Arial"/>
                <w:b/>
                <w:bCs/>
                <w:color w:val="000000"/>
                <w:sz w:val="16"/>
                <w:szCs w:val="16"/>
                <w:lang w:eastAsia="hr-HR"/>
              </w:rPr>
              <w:t>4.449,665</w:t>
            </w:r>
          </w:p>
        </w:tc>
        <w:tc>
          <w:tcPr>
            <w:tcW w:w="820" w:type="dxa"/>
            <w:tcBorders>
              <w:top w:val="nil"/>
              <w:left w:val="nil"/>
              <w:bottom w:val="single" w:sz="4" w:space="0" w:color="000080"/>
              <w:right w:val="single" w:sz="4" w:space="0" w:color="000080"/>
            </w:tcBorders>
            <w:shd w:val="clear" w:color="000000" w:fill="DCE6F1"/>
            <w:noWrap/>
            <w:vAlign w:val="center"/>
            <w:hideMark/>
          </w:tcPr>
          <w:p w:rsidR="00B074DB" w:rsidRPr="003603DE" w:rsidRDefault="00B074DB" w:rsidP="00B074DB">
            <w:pPr>
              <w:spacing w:after="0" w:line="240" w:lineRule="auto"/>
              <w:jc w:val="right"/>
              <w:rPr>
                <w:rFonts w:ascii="Arial" w:eastAsia="Times New Roman" w:hAnsi="Arial" w:cs="Arial"/>
                <w:b/>
                <w:bCs/>
                <w:sz w:val="16"/>
                <w:szCs w:val="16"/>
                <w:lang w:eastAsia="hr-HR"/>
              </w:rPr>
            </w:pPr>
            <w:r w:rsidRPr="003603DE">
              <w:rPr>
                <w:rFonts w:ascii="Arial" w:eastAsia="Times New Roman" w:hAnsi="Arial" w:cs="Arial"/>
                <w:b/>
                <w:bCs/>
                <w:sz w:val="16"/>
                <w:szCs w:val="16"/>
                <w:lang w:eastAsia="hr-HR"/>
              </w:rPr>
              <w:t>98,0</w:t>
            </w:r>
          </w:p>
        </w:tc>
        <w:tc>
          <w:tcPr>
            <w:tcW w:w="1160" w:type="dxa"/>
            <w:tcBorders>
              <w:top w:val="nil"/>
              <w:left w:val="nil"/>
              <w:bottom w:val="single" w:sz="4" w:space="0" w:color="000080"/>
              <w:right w:val="single" w:sz="4" w:space="0" w:color="000080"/>
            </w:tcBorders>
            <w:shd w:val="clear" w:color="000000" w:fill="DCE6F1"/>
            <w:noWrap/>
            <w:vAlign w:val="center"/>
            <w:hideMark/>
          </w:tcPr>
          <w:p w:rsidR="00B074DB" w:rsidRPr="003603DE" w:rsidRDefault="00B074DB" w:rsidP="00B074DB">
            <w:pPr>
              <w:spacing w:after="0" w:line="240" w:lineRule="auto"/>
              <w:jc w:val="right"/>
              <w:rPr>
                <w:rFonts w:ascii="Arial" w:eastAsia="Times New Roman" w:hAnsi="Arial" w:cs="Arial"/>
                <w:b/>
                <w:bCs/>
                <w:color w:val="000000"/>
                <w:sz w:val="16"/>
                <w:szCs w:val="16"/>
                <w:lang w:eastAsia="hr-HR"/>
              </w:rPr>
            </w:pPr>
            <w:r w:rsidRPr="003603DE">
              <w:rPr>
                <w:rFonts w:ascii="Arial" w:eastAsia="Times New Roman" w:hAnsi="Arial" w:cs="Arial"/>
                <w:b/>
                <w:bCs/>
                <w:color w:val="000000"/>
                <w:sz w:val="16"/>
                <w:szCs w:val="16"/>
                <w:lang w:eastAsia="hr-HR"/>
              </w:rPr>
              <w:t>5.493,804</w:t>
            </w:r>
          </w:p>
        </w:tc>
        <w:tc>
          <w:tcPr>
            <w:tcW w:w="820" w:type="dxa"/>
            <w:tcBorders>
              <w:top w:val="nil"/>
              <w:left w:val="nil"/>
              <w:bottom w:val="single" w:sz="4" w:space="0" w:color="000080"/>
              <w:right w:val="single" w:sz="4" w:space="0" w:color="000080"/>
            </w:tcBorders>
            <w:shd w:val="clear" w:color="000000" w:fill="DCE6F1"/>
            <w:noWrap/>
            <w:vAlign w:val="center"/>
            <w:hideMark/>
          </w:tcPr>
          <w:p w:rsidR="00B074DB" w:rsidRPr="003603DE" w:rsidRDefault="00B074DB" w:rsidP="00B074DB">
            <w:pPr>
              <w:spacing w:after="0" w:line="240" w:lineRule="auto"/>
              <w:jc w:val="right"/>
              <w:rPr>
                <w:rFonts w:ascii="Arial" w:eastAsia="Times New Roman" w:hAnsi="Arial" w:cs="Arial"/>
                <w:b/>
                <w:bCs/>
                <w:sz w:val="16"/>
                <w:szCs w:val="16"/>
                <w:lang w:eastAsia="hr-HR"/>
              </w:rPr>
            </w:pPr>
            <w:r w:rsidRPr="003603DE">
              <w:rPr>
                <w:rFonts w:ascii="Arial" w:eastAsia="Times New Roman" w:hAnsi="Arial" w:cs="Arial"/>
                <w:b/>
                <w:bCs/>
                <w:sz w:val="16"/>
                <w:szCs w:val="16"/>
                <w:lang w:eastAsia="hr-HR"/>
              </w:rPr>
              <w:t>123,5</w:t>
            </w:r>
          </w:p>
        </w:tc>
      </w:tr>
      <w:tr w:rsidR="00B074DB" w:rsidRPr="003603DE" w:rsidTr="00350787">
        <w:trPr>
          <w:trHeight w:val="300"/>
          <w:jc w:val="center"/>
        </w:trPr>
        <w:tc>
          <w:tcPr>
            <w:tcW w:w="1240" w:type="dxa"/>
            <w:tcBorders>
              <w:top w:val="nil"/>
              <w:left w:val="single" w:sz="4" w:space="0" w:color="000080"/>
              <w:bottom w:val="single" w:sz="4" w:space="0" w:color="000080"/>
              <w:right w:val="single" w:sz="4" w:space="0" w:color="000080"/>
            </w:tcBorders>
            <w:shd w:val="clear" w:color="auto" w:fill="auto"/>
            <w:noWrap/>
            <w:vAlign w:val="center"/>
            <w:hideMark/>
          </w:tcPr>
          <w:p w:rsidR="00B074DB" w:rsidRPr="003603DE" w:rsidRDefault="00B074DB" w:rsidP="003603DE">
            <w:pPr>
              <w:spacing w:after="0" w:line="240" w:lineRule="auto"/>
              <w:ind w:firstLineChars="200" w:firstLine="320"/>
              <w:rPr>
                <w:rFonts w:ascii="Arial" w:eastAsia="Times New Roman" w:hAnsi="Arial" w:cs="Arial"/>
                <w:sz w:val="16"/>
                <w:szCs w:val="16"/>
                <w:lang w:eastAsia="hr-HR"/>
              </w:rPr>
            </w:pPr>
            <w:r w:rsidRPr="003603DE">
              <w:rPr>
                <w:rFonts w:ascii="Arial" w:eastAsia="Times New Roman" w:hAnsi="Arial" w:cs="Arial"/>
                <w:sz w:val="16"/>
                <w:szCs w:val="16"/>
                <w:lang w:eastAsia="hr-HR"/>
              </w:rPr>
              <w:t>- 1+2+8</w:t>
            </w:r>
          </w:p>
        </w:tc>
        <w:tc>
          <w:tcPr>
            <w:tcW w:w="2440" w:type="dxa"/>
            <w:tcBorders>
              <w:top w:val="nil"/>
              <w:left w:val="nil"/>
              <w:bottom w:val="single" w:sz="4" w:space="0" w:color="000080"/>
              <w:right w:val="single" w:sz="4" w:space="0" w:color="000080"/>
            </w:tcBorders>
            <w:shd w:val="clear" w:color="auto" w:fill="auto"/>
            <w:noWrap/>
            <w:vAlign w:val="center"/>
            <w:hideMark/>
          </w:tcPr>
          <w:p w:rsidR="00B074DB" w:rsidRPr="003603DE" w:rsidRDefault="00B074DB" w:rsidP="003603DE">
            <w:pPr>
              <w:spacing w:after="0" w:line="240" w:lineRule="auto"/>
              <w:ind w:firstLineChars="100" w:firstLine="160"/>
              <w:rPr>
                <w:rFonts w:ascii="Arial" w:eastAsia="Times New Roman" w:hAnsi="Arial" w:cs="Arial"/>
                <w:sz w:val="16"/>
                <w:szCs w:val="16"/>
                <w:lang w:eastAsia="hr-HR"/>
              </w:rPr>
            </w:pPr>
            <w:r w:rsidRPr="003603DE">
              <w:rPr>
                <w:rFonts w:ascii="Arial" w:eastAsia="Times New Roman" w:hAnsi="Arial" w:cs="Arial"/>
                <w:sz w:val="16"/>
                <w:szCs w:val="16"/>
                <w:lang w:eastAsia="hr-HR"/>
              </w:rPr>
              <w:t>Rashodi za usluge u limitu</w:t>
            </w:r>
          </w:p>
        </w:tc>
        <w:tc>
          <w:tcPr>
            <w:tcW w:w="1380" w:type="dxa"/>
            <w:tcBorders>
              <w:top w:val="nil"/>
              <w:left w:val="nil"/>
              <w:bottom w:val="single" w:sz="4" w:space="0" w:color="000080"/>
              <w:right w:val="single" w:sz="4" w:space="0" w:color="000080"/>
            </w:tcBorders>
            <w:shd w:val="clear" w:color="auto" w:fill="auto"/>
            <w:noWrap/>
            <w:vAlign w:val="center"/>
            <w:hideMark/>
          </w:tcPr>
          <w:p w:rsidR="00B074DB" w:rsidRPr="003603DE" w:rsidRDefault="00B074DB" w:rsidP="00B074DB">
            <w:pPr>
              <w:spacing w:after="0" w:line="240" w:lineRule="auto"/>
              <w:jc w:val="right"/>
              <w:rPr>
                <w:rFonts w:ascii="Arial" w:eastAsia="Times New Roman" w:hAnsi="Arial" w:cs="Arial"/>
                <w:color w:val="000000"/>
                <w:sz w:val="16"/>
                <w:szCs w:val="16"/>
                <w:lang w:eastAsia="hr-HR"/>
              </w:rPr>
            </w:pPr>
            <w:r w:rsidRPr="003603DE">
              <w:rPr>
                <w:rFonts w:ascii="Arial" w:eastAsia="Times New Roman" w:hAnsi="Arial" w:cs="Arial"/>
                <w:color w:val="000000"/>
                <w:sz w:val="16"/>
                <w:szCs w:val="16"/>
                <w:lang w:eastAsia="hr-HR"/>
              </w:rPr>
              <w:t>4.058,997</w:t>
            </w:r>
          </w:p>
        </w:tc>
        <w:tc>
          <w:tcPr>
            <w:tcW w:w="1380" w:type="dxa"/>
            <w:tcBorders>
              <w:top w:val="nil"/>
              <w:left w:val="nil"/>
              <w:bottom w:val="single" w:sz="4" w:space="0" w:color="000080"/>
              <w:right w:val="single" w:sz="4" w:space="0" w:color="000080"/>
            </w:tcBorders>
            <w:shd w:val="clear" w:color="auto" w:fill="auto"/>
            <w:noWrap/>
            <w:vAlign w:val="center"/>
            <w:hideMark/>
          </w:tcPr>
          <w:p w:rsidR="00B074DB" w:rsidRPr="003603DE" w:rsidRDefault="00B074DB" w:rsidP="00B074DB">
            <w:pPr>
              <w:spacing w:after="0" w:line="240" w:lineRule="auto"/>
              <w:jc w:val="right"/>
              <w:rPr>
                <w:rFonts w:ascii="Arial" w:eastAsia="Times New Roman" w:hAnsi="Arial" w:cs="Arial"/>
                <w:color w:val="000000"/>
                <w:sz w:val="16"/>
                <w:szCs w:val="16"/>
                <w:lang w:eastAsia="hr-HR"/>
              </w:rPr>
            </w:pPr>
            <w:r w:rsidRPr="003603DE">
              <w:rPr>
                <w:rFonts w:ascii="Arial" w:eastAsia="Times New Roman" w:hAnsi="Arial" w:cs="Arial"/>
                <w:color w:val="000000"/>
                <w:sz w:val="16"/>
                <w:szCs w:val="16"/>
                <w:lang w:eastAsia="hr-HR"/>
              </w:rPr>
              <w:t>3.938,447</w:t>
            </w:r>
          </w:p>
        </w:tc>
        <w:tc>
          <w:tcPr>
            <w:tcW w:w="820" w:type="dxa"/>
            <w:tcBorders>
              <w:top w:val="nil"/>
              <w:left w:val="nil"/>
              <w:bottom w:val="single" w:sz="4" w:space="0" w:color="000080"/>
              <w:right w:val="single" w:sz="4" w:space="0" w:color="000080"/>
            </w:tcBorders>
            <w:shd w:val="clear" w:color="auto" w:fill="auto"/>
            <w:noWrap/>
            <w:vAlign w:val="center"/>
            <w:hideMark/>
          </w:tcPr>
          <w:p w:rsidR="00B074DB" w:rsidRPr="003603DE" w:rsidRDefault="00B074DB" w:rsidP="00B074DB">
            <w:pPr>
              <w:spacing w:after="0" w:line="240" w:lineRule="auto"/>
              <w:jc w:val="right"/>
              <w:rPr>
                <w:rFonts w:ascii="Arial" w:eastAsia="Times New Roman" w:hAnsi="Arial" w:cs="Arial"/>
                <w:sz w:val="16"/>
                <w:szCs w:val="16"/>
                <w:lang w:eastAsia="hr-HR"/>
              </w:rPr>
            </w:pPr>
            <w:r w:rsidRPr="003603DE">
              <w:rPr>
                <w:rFonts w:ascii="Arial" w:eastAsia="Times New Roman" w:hAnsi="Arial" w:cs="Arial"/>
                <w:sz w:val="16"/>
                <w:szCs w:val="16"/>
                <w:lang w:eastAsia="hr-HR"/>
              </w:rPr>
              <w:t>97,0</w:t>
            </w:r>
          </w:p>
        </w:tc>
        <w:tc>
          <w:tcPr>
            <w:tcW w:w="1160" w:type="dxa"/>
            <w:tcBorders>
              <w:top w:val="nil"/>
              <w:left w:val="nil"/>
              <w:bottom w:val="single" w:sz="4" w:space="0" w:color="000080"/>
              <w:right w:val="single" w:sz="4" w:space="0" w:color="000080"/>
            </w:tcBorders>
            <w:shd w:val="clear" w:color="auto" w:fill="auto"/>
            <w:noWrap/>
            <w:vAlign w:val="center"/>
            <w:hideMark/>
          </w:tcPr>
          <w:p w:rsidR="00B074DB" w:rsidRPr="003603DE" w:rsidRDefault="00B074DB" w:rsidP="00B074DB">
            <w:pPr>
              <w:spacing w:after="0" w:line="240" w:lineRule="auto"/>
              <w:jc w:val="right"/>
              <w:rPr>
                <w:rFonts w:ascii="Arial" w:eastAsia="Times New Roman" w:hAnsi="Arial" w:cs="Arial"/>
                <w:color w:val="000000"/>
                <w:sz w:val="16"/>
                <w:szCs w:val="16"/>
                <w:lang w:eastAsia="hr-HR"/>
              </w:rPr>
            </w:pPr>
            <w:r w:rsidRPr="003603DE">
              <w:rPr>
                <w:rFonts w:ascii="Arial" w:eastAsia="Times New Roman" w:hAnsi="Arial" w:cs="Arial"/>
                <w:color w:val="000000"/>
                <w:sz w:val="16"/>
                <w:szCs w:val="16"/>
                <w:lang w:eastAsia="hr-HR"/>
              </w:rPr>
              <w:t>4.142,285</w:t>
            </w:r>
          </w:p>
        </w:tc>
        <w:tc>
          <w:tcPr>
            <w:tcW w:w="820" w:type="dxa"/>
            <w:tcBorders>
              <w:top w:val="nil"/>
              <w:left w:val="nil"/>
              <w:bottom w:val="single" w:sz="4" w:space="0" w:color="000080"/>
              <w:right w:val="single" w:sz="4" w:space="0" w:color="000080"/>
            </w:tcBorders>
            <w:shd w:val="clear" w:color="auto" w:fill="auto"/>
            <w:noWrap/>
            <w:vAlign w:val="center"/>
            <w:hideMark/>
          </w:tcPr>
          <w:p w:rsidR="00B074DB" w:rsidRPr="003603DE" w:rsidRDefault="00B074DB" w:rsidP="00B074DB">
            <w:pPr>
              <w:spacing w:after="0" w:line="240" w:lineRule="auto"/>
              <w:jc w:val="right"/>
              <w:rPr>
                <w:rFonts w:ascii="Arial" w:eastAsia="Times New Roman" w:hAnsi="Arial" w:cs="Arial"/>
                <w:sz w:val="16"/>
                <w:szCs w:val="16"/>
                <w:lang w:eastAsia="hr-HR"/>
              </w:rPr>
            </w:pPr>
            <w:r w:rsidRPr="003603DE">
              <w:rPr>
                <w:rFonts w:ascii="Arial" w:eastAsia="Times New Roman" w:hAnsi="Arial" w:cs="Arial"/>
                <w:sz w:val="16"/>
                <w:szCs w:val="16"/>
                <w:lang w:eastAsia="hr-HR"/>
              </w:rPr>
              <w:t>105,2</w:t>
            </w:r>
          </w:p>
        </w:tc>
      </w:tr>
      <w:tr w:rsidR="00B074DB" w:rsidRPr="003603DE" w:rsidTr="00350787">
        <w:trPr>
          <w:trHeight w:val="300"/>
          <w:jc w:val="center"/>
        </w:trPr>
        <w:tc>
          <w:tcPr>
            <w:tcW w:w="1240" w:type="dxa"/>
            <w:tcBorders>
              <w:top w:val="nil"/>
              <w:left w:val="single" w:sz="4" w:space="0" w:color="000080"/>
              <w:bottom w:val="single" w:sz="4" w:space="0" w:color="000080"/>
              <w:right w:val="single" w:sz="4" w:space="0" w:color="000080"/>
            </w:tcBorders>
            <w:shd w:val="clear" w:color="auto" w:fill="auto"/>
            <w:noWrap/>
            <w:vAlign w:val="center"/>
            <w:hideMark/>
          </w:tcPr>
          <w:p w:rsidR="00B074DB" w:rsidRPr="003603DE" w:rsidRDefault="00B074DB" w:rsidP="003603DE">
            <w:pPr>
              <w:spacing w:after="0" w:line="240" w:lineRule="auto"/>
              <w:ind w:firstLineChars="200" w:firstLine="320"/>
              <w:rPr>
                <w:rFonts w:ascii="Arial" w:eastAsia="Times New Roman" w:hAnsi="Arial" w:cs="Arial"/>
                <w:sz w:val="16"/>
                <w:szCs w:val="16"/>
                <w:lang w:eastAsia="hr-HR"/>
              </w:rPr>
            </w:pPr>
            <w:r w:rsidRPr="003603DE">
              <w:rPr>
                <w:rFonts w:ascii="Arial" w:eastAsia="Times New Roman" w:hAnsi="Arial" w:cs="Arial"/>
                <w:sz w:val="16"/>
                <w:szCs w:val="16"/>
                <w:lang w:eastAsia="hr-HR"/>
              </w:rPr>
              <w:t>- ostali izvori</w:t>
            </w:r>
          </w:p>
        </w:tc>
        <w:tc>
          <w:tcPr>
            <w:tcW w:w="2440" w:type="dxa"/>
            <w:tcBorders>
              <w:top w:val="nil"/>
              <w:left w:val="nil"/>
              <w:bottom w:val="single" w:sz="4" w:space="0" w:color="000080"/>
              <w:right w:val="single" w:sz="4" w:space="0" w:color="000080"/>
            </w:tcBorders>
            <w:shd w:val="clear" w:color="auto" w:fill="auto"/>
            <w:vAlign w:val="center"/>
            <w:hideMark/>
          </w:tcPr>
          <w:p w:rsidR="00B074DB" w:rsidRPr="003603DE" w:rsidRDefault="00B074DB" w:rsidP="003603DE">
            <w:pPr>
              <w:spacing w:after="0" w:line="240" w:lineRule="auto"/>
              <w:ind w:firstLineChars="100" w:firstLine="160"/>
              <w:rPr>
                <w:rFonts w:ascii="Arial" w:eastAsia="Times New Roman" w:hAnsi="Arial" w:cs="Arial"/>
                <w:sz w:val="16"/>
                <w:szCs w:val="16"/>
                <w:lang w:eastAsia="hr-HR"/>
              </w:rPr>
            </w:pPr>
            <w:r w:rsidRPr="003603DE">
              <w:rPr>
                <w:rFonts w:ascii="Arial" w:eastAsia="Times New Roman" w:hAnsi="Arial" w:cs="Arial"/>
                <w:sz w:val="16"/>
                <w:szCs w:val="16"/>
                <w:lang w:eastAsia="hr-HR"/>
              </w:rPr>
              <w:t>Rashodi za usluge izvan limita</w:t>
            </w:r>
          </w:p>
        </w:tc>
        <w:tc>
          <w:tcPr>
            <w:tcW w:w="1380" w:type="dxa"/>
            <w:tcBorders>
              <w:top w:val="nil"/>
              <w:left w:val="nil"/>
              <w:bottom w:val="single" w:sz="4" w:space="0" w:color="000080"/>
              <w:right w:val="single" w:sz="4" w:space="0" w:color="000080"/>
            </w:tcBorders>
            <w:shd w:val="clear" w:color="auto" w:fill="auto"/>
            <w:noWrap/>
            <w:vAlign w:val="center"/>
            <w:hideMark/>
          </w:tcPr>
          <w:p w:rsidR="00B074DB" w:rsidRPr="003603DE" w:rsidRDefault="00B074DB" w:rsidP="00B074DB">
            <w:pPr>
              <w:spacing w:after="0" w:line="240" w:lineRule="auto"/>
              <w:jc w:val="right"/>
              <w:rPr>
                <w:rFonts w:ascii="Arial" w:eastAsia="Times New Roman" w:hAnsi="Arial" w:cs="Arial"/>
                <w:color w:val="000000"/>
                <w:sz w:val="16"/>
                <w:szCs w:val="16"/>
                <w:lang w:eastAsia="hr-HR"/>
              </w:rPr>
            </w:pPr>
            <w:r w:rsidRPr="003603DE">
              <w:rPr>
                <w:rFonts w:ascii="Arial" w:eastAsia="Times New Roman" w:hAnsi="Arial" w:cs="Arial"/>
                <w:color w:val="000000"/>
                <w:sz w:val="16"/>
                <w:szCs w:val="16"/>
                <w:lang w:eastAsia="hr-HR"/>
              </w:rPr>
              <w:t>482,039</w:t>
            </w:r>
          </w:p>
        </w:tc>
        <w:tc>
          <w:tcPr>
            <w:tcW w:w="1380" w:type="dxa"/>
            <w:tcBorders>
              <w:top w:val="nil"/>
              <w:left w:val="nil"/>
              <w:bottom w:val="single" w:sz="4" w:space="0" w:color="000080"/>
              <w:right w:val="single" w:sz="4" w:space="0" w:color="000080"/>
            </w:tcBorders>
            <w:shd w:val="clear" w:color="auto" w:fill="auto"/>
            <w:noWrap/>
            <w:vAlign w:val="center"/>
            <w:hideMark/>
          </w:tcPr>
          <w:p w:rsidR="00B074DB" w:rsidRPr="003603DE" w:rsidRDefault="00B074DB" w:rsidP="00B074DB">
            <w:pPr>
              <w:spacing w:after="0" w:line="240" w:lineRule="auto"/>
              <w:jc w:val="right"/>
              <w:rPr>
                <w:rFonts w:ascii="Arial" w:eastAsia="Times New Roman" w:hAnsi="Arial" w:cs="Arial"/>
                <w:color w:val="000000"/>
                <w:sz w:val="16"/>
                <w:szCs w:val="16"/>
                <w:lang w:eastAsia="hr-HR"/>
              </w:rPr>
            </w:pPr>
            <w:r w:rsidRPr="003603DE">
              <w:rPr>
                <w:rFonts w:ascii="Arial" w:eastAsia="Times New Roman" w:hAnsi="Arial" w:cs="Arial"/>
                <w:color w:val="000000"/>
                <w:sz w:val="16"/>
                <w:szCs w:val="16"/>
                <w:lang w:eastAsia="hr-HR"/>
              </w:rPr>
              <w:t>511,218</w:t>
            </w:r>
          </w:p>
        </w:tc>
        <w:tc>
          <w:tcPr>
            <w:tcW w:w="820" w:type="dxa"/>
            <w:tcBorders>
              <w:top w:val="nil"/>
              <w:left w:val="nil"/>
              <w:bottom w:val="single" w:sz="4" w:space="0" w:color="000080"/>
              <w:right w:val="single" w:sz="4" w:space="0" w:color="000080"/>
            </w:tcBorders>
            <w:shd w:val="clear" w:color="auto" w:fill="auto"/>
            <w:noWrap/>
            <w:vAlign w:val="center"/>
            <w:hideMark/>
          </w:tcPr>
          <w:p w:rsidR="00B074DB" w:rsidRPr="003603DE" w:rsidRDefault="00B074DB" w:rsidP="00B074DB">
            <w:pPr>
              <w:spacing w:after="0" w:line="240" w:lineRule="auto"/>
              <w:jc w:val="right"/>
              <w:rPr>
                <w:rFonts w:ascii="Arial" w:eastAsia="Times New Roman" w:hAnsi="Arial" w:cs="Arial"/>
                <w:sz w:val="16"/>
                <w:szCs w:val="16"/>
                <w:lang w:eastAsia="hr-HR"/>
              </w:rPr>
            </w:pPr>
            <w:r w:rsidRPr="003603DE">
              <w:rPr>
                <w:rFonts w:ascii="Arial" w:eastAsia="Times New Roman" w:hAnsi="Arial" w:cs="Arial"/>
                <w:sz w:val="16"/>
                <w:szCs w:val="16"/>
                <w:lang w:eastAsia="hr-HR"/>
              </w:rPr>
              <w:t>106,1</w:t>
            </w:r>
          </w:p>
        </w:tc>
        <w:tc>
          <w:tcPr>
            <w:tcW w:w="1160" w:type="dxa"/>
            <w:tcBorders>
              <w:top w:val="nil"/>
              <w:left w:val="nil"/>
              <w:bottom w:val="single" w:sz="4" w:space="0" w:color="000080"/>
              <w:right w:val="single" w:sz="4" w:space="0" w:color="000080"/>
            </w:tcBorders>
            <w:shd w:val="clear" w:color="auto" w:fill="auto"/>
            <w:noWrap/>
            <w:vAlign w:val="center"/>
            <w:hideMark/>
          </w:tcPr>
          <w:p w:rsidR="00B074DB" w:rsidRPr="003603DE" w:rsidRDefault="00B074DB" w:rsidP="00B074DB">
            <w:pPr>
              <w:spacing w:after="0" w:line="240" w:lineRule="auto"/>
              <w:jc w:val="right"/>
              <w:rPr>
                <w:rFonts w:ascii="Arial" w:eastAsia="Times New Roman" w:hAnsi="Arial" w:cs="Arial"/>
                <w:color w:val="000000"/>
                <w:sz w:val="16"/>
                <w:szCs w:val="16"/>
                <w:lang w:eastAsia="hr-HR"/>
              </w:rPr>
            </w:pPr>
            <w:r w:rsidRPr="003603DE">
              <w:rPr>
                <w:rFonts w:ascii="Arial" w:eastAsia="Times New Roman" w:hAnsi="Arial" w:cs="Arial"/>
                <w:color w:val="000000"/>
                <w:sz w:val="16"/>
                <w:szCs w:val="16"/>
                <w:lang w:eastAsia="hr-HR"/>
              </w:rPr>
              <w:t>1.351,519</w:t>
            </w:r>
          </w:p>
        </w:tc>
        <w:tc>
          <w:tcPr>
            <w:tcW w:w="820" w:type="dxa"/>
            <w:tcBorders>
              <w:top w:val="nil"/>
              <w:left w:val="nil"/>
              <w:bottom w:val="single" w:sz="4" w:space="0" w:color="000080"/>
              <w:right w:val="single" w:sz="4" w:space="0" w:color="000080"/>
            </w:tcBorders>
            <w:shd w:val="clear" w:color="auto" w:fill="auto"/>
            <w:noWrap/>
            <w:vAlign w:val="center"/>
            <w:hideMark/>
          </w:tcPr>
          <w:p w:rsidR="00B074DB" w:rsidRPr="003603DE" w:rsidRDefault="00B074DB" w:rsidP="00B074DB">
            <w:pPr>
              <w:spacing w:after="0" w:line="240" w:lineRule="auto"/>
              <w:jc w:val="right"/>
              <w:rPr>
                <w:rFonts w:ascii="Arial" w:eastAsia="Times New Roman" w:hAnsi="Arial" w:cs="Arial"/>
                <w:sz w:val="16"/>
                <w:szCs w:val="16"/>
                <w:lang w:eastAsia="hr-HR"/>
              </w:rPr>
            </w:pPr>
            <w:r w:rsidRPr="003603DE">
              <w:rPr>
                <w:rFonts w:ascii="Arial" w:eastAsia="Times New Roman" w:hAnsi="Arial" w:cs="Arial"/>
                <w:sz w:val="16"/>
                <w:szCs w:val="16"/>
                <w:lang w:eastAsia="hr-HR"/>
              </w:rPr>
              <w:t>264,4</w:t>
            </w:r>
          </w:p>
        </w:tc>
      </w:tr>
    </w:tbl>
    <w:p w:rsidR="00CF000D" w:rsidRPr="00FA7F54" w:rsidRDefault="00CF000D" w:rsidP="00581FE5">
      <w:pPr>
        <w:spacing w:after="0"/>
        <w:rPr>
          <w:rFonts w:ascii="Times New Roman" w:hAnsi="Times New Roman" w:cs="Times New Roman"/>
        </w:rPr>
      </w:pPr>
    </w:p>
    <w:p w:rsidR="00463086" w:rsidRPr="00FA7F54" w:rsidRDefault="00463086" w:rsidP="00463086">
      <w:pPr>
        <w:pStyle w:val="Naslov2"/>
        <w:rPr>
          <w:rFonts w:ascii="Times New Roman" w:hAnsi="Times New Roman" w:cs="Times New Roman"/>
          <w:color w:val="auto"/>
          <w:sz w:val="22"/>
          <w:szCs w:val="22"/>
        </w:rPr>
      </w:pPr>
      <w:bookmarkStart w:id="69" w:name="_Toc434411188"/>
      <w:bookmarkStart w:id="70" w:name="_Toc436402331"/>
      <w:r w:rsidRPr="00FA7F54">
        <w:rPr>
          <w:rFonts w:ascii="Times New Roman" w:hAnsi="Times New Roman" w:cs="Times New Roman"/>
          <w:color w:val="auto"/>
          <w:sz w:val="22"/>
          <w:szCs w:val="22"/>
        </w:rPr>
        <w:t>USLUGE TELEFONA, POŠTE I PRIJEVOZA (3231)</w:t>
      </w:r>
      <w:bookmarkEnd w:id="69"/>
      <w:bookmarkEnd w:id="70"/>
    </w:p>
    <w:p w:rsidR="004762A2" w:rsidRPr="00FA7F54" w:rsidRDefault="004762A2" w:rsidP="004762A2">
      <w:pPr>
        <w:spacing w:line="240" w:lineRule="auto"/>
        <w:jc w:val="both"/>
        <w:rPr>
          <w:rFonts w:ascii="Times New Roman" w:hAnsi="Times New Roman" w:cs="Times New Roman"/>
        </w:rPr>
      </w:pPr>
      <w:r w:rsidRPr="00FA7F54">
        <w:rPr>
          <w:rFonts w:ascii="Times New Roman" w:hAnsi="Times New Roman" w:cs="Times New Roman"/>
        </w:rPr>
        <w:t>Prema iskazanim podacima u financijskim izvještajima rashodi za usluge telefona, pošte i prijevoza u 2013. godini iznosili su 571,</w:t>
      </w:r>
      <w:r w:rsidR="00350787">
        <w:rPr>
          <w:rFonts w:ascii="Times New Roman" w:hAnsi="Times New Roman" w:cs="Times New Roman"/>
        </w:rPr>
        <w:t>8</w:t>
      </w:r>
      <w:r w:rsidR="00350787" w:rsidRPr="00FA7F54">
        <w:rPr>
          <w:rFonts w:ascii="Times New Roman" w:hAnsi="Times New Roman" w:cs="Times New Roman"/>
        </w:rPr>
        <w:t xml:space="preserve"> </w:t>
      </w:r>
      <w:r w:rsidRPr="00FA7F54">
        <w:rPr>
          <w:rFonts w:ascii="Times New Roman" w:hAnsi="Times New Roman" w:cs="Times New Roman"/>
        </w:rPr>
        <w:t xml:space="preserve">mil. kuna, a u 2014. godini 526,6 mil. kuna. U državnom proračunu za 2015. godinu planirano je 479,4 mil. kuna navedenih rashoda od čega se 451,7 mil. </w:t>
      </w:r>
      <w:r w:rsidR="00350787">
        <w:rPr>
          <w:rFonts w:ascii="Times New Roman" w:hAnsi="Times New Roman" w:cs="Times New Roman"/>
        </w:rPr>
        <w:t xml:space="preserve">kuna </w:t>
      </w:r>
      <w:r w:rsidRPr="00FA7F54">
        <w:rPr>
          <w:rFonts w:ascii="Times New Roman" w:hAnsi="Times New Roman" w:cs="Times New Roman"/>
        </w:rPr>
        <w:t>financira iz izvora u limitu.</w:t>
      </w:r>
    </w:p>
    <w:p w:rsidR="00655C82" w:rsidRPr="00FA7F54" w:rsidRDefault="00F15834" w:rsidP="00F15834">
      <w:pPr>
        <w:spacing w:line="240" w:lineRule="auto"/>
        <w:jc w:val="both"/>
        <w:rPr>
          <w:rFonts w:ascii="Times New Roman" w:hAnsi="Times New Roman" w:cs="Times New Roman"/>
        </w:rPr>
      </w:pPr>
      <w:r>
        <w:rPr>
          <w:rFonts w:ascii="Times New Roman" w:hAnsi="Times New Roman" w:cs="Times New Roman"/>
        </w:rPr>
        <w:t xml:space="preserve">Povećani troškovi u odnosu na prosječne mjesečne troškove svih korisnika po zaposleniku razvidni su kod agencija, ostalih državnih tijela, tijela izvršne vlasti, tijela sudbene vlasti, Ureda predsjednika i ureda državne uprave, a </w:t>
      </w:r>
      <w:r w:rsidRPr="00FA7F54">
        <w:rPr>
          <w:rFonts w:ascii="Times New Roman" w:hAnsi="Times New Roman" w:cs="Times New Roman"/>
        </w:rPr>
        <w:t xml:space="preserve">koji se </w:t>
      </w:r>
      <w:r>
        <w:rPr>
          <w:rFonts w:ascii="Times New Roman" w:hAnsi="Times New Roman" w:cs="Times New Roman"/>
        </w:rPr>
        <w:t>više od 50</w:t>
      </w:r>
      <w:r w:rsidR="00350787">
        <w:rPr>
          <w:rFonts w:ascii="Times New Roman" w:hAnsi="Times New Roman" w:cs="Times New Roman"/>
        </w:rPr>
        <w:t>%</w:t>
      </w:r>
      <w:r w:rsidRPr="00FA7F54">
        <w:rPr>
          <w:rFonts w:ascii="Times New Roman" w:hAnsi="Times New Roman" w:cs="Times New Roman"/>
        </w:rPr>
        <w:t xml:space="preserve"> financiraju iz </w:t>
      </w:r>
      <w:r>
        <w:rPr>
          <w:rFonts w:ascii="Times New Roman" w:hAnsi="Times New Roman" w:cs="Times New Roman"/>
        </w:rPr>
        <w:t>proračuna</w:t>
      </w:r>
      <w:r w:rsidRPr="00FA7F54">
        <w:rPr>
          <w:rFonts w:ascii="Times New Roman" w:hAnsi="Times New Roman" w:cs="Times New Roman"/>
        </w:rPr>
        <w:t>.</w:t>
      </w:r>
    </w:p>
    <w:p w:rsidR="00581FE5" w:rsidRDefault="00581FE5" w:rsidP="002D4527">
      <w:pPr>
        <w:pStyle w:val="Opisslike"/>
        <w:spacing w:after="0"/>
        <w:jc w:val="both"/>
        <w:rPr>
          <w:rFonts w:ascii="Times New Roman" w:hAnsi="Times New Roman" w:cs="Times New Roman"/>
          <w:sz w:val="20"/>
          <w:szCs w:val="20"/>
        </w:rPr>
      </w:pPr>
    </w:p>
    <w:p w:rsidR="00581FE5" w:rsidRDefault="00581FE5" w:rsidP="002D4527">
      <w:pPr>
        <w:pStyle w:val="Opisslike"/>
        <w:spacing w:after="0"/>
        <w:jc w:val="both"/>
        <w:rPr>
          <w:rFonts w:ascii="Times New Roman" w:hAnsi="Times New Roman" w:cs="Times New Roman"/>
          <w:sz w:val="20"/>
          <w:szCs w:val="20"/>
        </w:rPr>
      </w:pPr>
    </w:p>
    <w:p w:rsidR="00581FE5" w:rsidRDefault="00581FE5" w:rsidP="002D4527">
      <w:pPr>
        <w:pStyle w:val="Opisslike"/>
        <w:spacing w:after="0"/>
        <w:jc w:val="both"/>
        <w:rPr>
          <w:rFonts w:ascii="Times New Roman" w:hAnsi="Times New Roman" w:cs="Times New Roman"/>
          <w:sz w:val="20"/>
          <w:szCs w:val="20"/>
        </w:rPr>
      </w:pPr>
    </w:p>
    <w:p w:rsidR="00581FE5" w:rsidRDefault="00581FE5" w:rsidP="002D4527">
      <w:pPr>
        <w:pStyle w:val="Opisslike"/>
        <w:spacing w:after="0"/>
        <w:jc w:val="both"/>
        <w:rPr>
          <w:rFonts w:ascii="Times New Roman" w:hAnsi="Times New Roman" w:cs="Times New Roman"/>
          <w:sz w:val="20"/>
          <w:szCs w:val="20"/>
        </w:rPr>
      </w:pPr>
    </w:p>
    <w:p w:rsidR="00581FE5" w:rsidRDefault="00581FE5" w:rsidP="002D4527">
      <w:pPr>
        <w:pStyle w:val="Opisslike"/>
        <w:spacing w:after="0"/>
        <w:jc w:val="both"/>
        <w:rPr>
          <w:rFonts w:ascii="Times New Roman" w:hAnsi="Times New Roman" w:cs="Times New Roman"/>
          <w:sz w:val="20"/>
          <w:szCs w:val="20"/>
        </w:rPr>
      </w:pPr>
    </w:p>
    <w:p w:rsidR="00581FE5" w:rsidRDefault="00581FE5" w:rsidP="002D4527">
      <w:pPr>
        <w:pStyle w:val="Opisslike"/>
        <w:spacing w:after="0"/>
        <w:jc w:val="both"/>
        <w:rPr>
          <w:rFonts w:ascii="Times New Roman" w:hAnsi="Times New Roman" w:cs="Times New Roman"/>
          <w:sz w:val="20"/>
          <w:szCs w:val="20"/>
        </w:rPr>
      </w:pPr>
    </w:p>
    <w:p w:rsidR="00581FE5" w:rsidRDefault="00581FE5" w:rsidP="002D4527">
      <w:pPr>
        <w:pStyle w:val="Opisslike"/>
        <w:spacing w:after="0"/>
        <w:jc w:val="both"/>
        <w:rPr>
          <w:rFonts w:ascii="Times New Roman" w:hAnsi="Times New Roman" w:cs="Times New Roman"/>
          <w:sz w:val="20"/>
          <w:szCs w:val="20"/>
        </w:rPr>
      </w:pPr>
    </w:p>
    <w:p w:rsidR="00581FE5" w:rsidRDefault="00581FE5" w:rsidP="002D4527">
      <w:pPr>
        <w:pStyle w:val="Opisslike"/>
        <w:spacing w:after="0"/>
        <w:jc w:val="both"/>
        <w:rPr>
          <w:rFonts w:ascii="Times New Roman" w:hAnsi="Times New Roman" w:cs="Times New Roman"/>
          <w:sz w:val="20"/>
          <w:szCs w:val="20"/>
        </w:rPr>
      </w:pPr>
    </w:p>
    <w:p w:rsidR="00581FE5" w:rsidRDefault="00581FE5" w:rsidP="002D4527">
      <w:pPr>
        <w:pStyle w:val="Opisslike"/>
        <w:spacing w:after="0"/>
        <w:jc w:val="both"/>
        <w:rPr>
          <w:rFonts w:ascii="Times New Roman" w:hAnsi="Times New Roman" w:cs="Times New Roman"/>
          <w:sz w:val="20"/>
          <w:szCs w:val="20"/>
        </w:rPr>
      </w:pPr>
    </w:p>
    <w:p w:rsidR="00581FE5" w:rsidRDefault="00581FE5" w:rsidP="002D4527">
      <w:pPr>
        <w:pStyle w:val="Opisslike"/>
        <w:spacing w:after="0"/>
        <w:jc w:val="both"/>
        <w:rPr>
          <w:rFonts w:ascii="Times New Roman" w:hAnsi="Times New Roman" w:cs="Times New Roman"/>
          <w:sz w:val="20"/>
          <w:szCs w:val="20"/>
        </w:rPr>
      </w:pPr>
    </w:p>
    <w:p w:rsidR="00581FE5" w:rsidRDefault="00581FE5" w:rsidP="002D4527">
      <w:pPr>
        <w:pStyle w:val="Opisslike"/>
        <w:spacing w:after="0"/>
        <w:jc w:val="both"/>
        <w:rPr>
          <w:rFonts w:ascii="Times New Roman" w:hAnsi="Times New Roman" w:cs="Times New Roman"/>
          <w:sz w:val="20"/>
          <w:szCs w:val="20"/>
        </w:rPr>
      </w:pPr>
    </w:p>
    <w:p w:rsidR="00581FE5" w:rsidRDefault="00581FE5" w:rsidP="002D4527">
      <w:pPr>
        <w:pStyle w:val="Opisslike"/>
        <w:spacing w:after="0"/>
        <w:jc w:val="both"/>
        <w:rPr>
          <w:rFonts w:ascii="Times New Roman" w:hAnsi="Times New Roman" w:cs="Times New Roman"/>
          <w:sz w:val="20"/>
          <w:szCs w:val="20"/>
        </w:rPr>
      </w:pPr>
    </w:p>
    <w:p w:rsidR="00581FE5" w:rsidRDefault="00581FE5" w:rsidP="002D4527">
      <w:pPr>
        <w:pStyle w:val="Opisslike"/>
        <w:spacing w:after="0"/>
        <w:jc w:val="both"/>
        <w:rPr>
          <w:rFonts w:ascii="Times New Roman" w:hAnsi="Times New Roman" w:cs="Times New Roman"/>
          <w:sz w:val="20"/>
          <w:szCs w:val="20"/>
        </w:rPr>
      </w:pPr>
    </w:p>
    <w:p w:rsidR="00581FE5" w:rsidRDefault="00581FE5" w:rsidP="002D4527">
      <w:pPr>
        <w:pStyle w:val="Opisslike"/>
        <w:spacing w:after="0"/>
        <w:jc w:val="both"/>
        <w:rPr>
          <w:rFonts w:ascii="Times New Roman" w:hAnsi="Times New Roman" w:cs="Times New Roman"/>
          <w:sz w:val="20"/>
          <w:szCs w:val="20"/>
        </w:rPr>
      </w:pPr>
    </w:p>
    <w:p w:rsidR="00581FE5" w:rsidRDefault="00581FE5" w:rsidP="002D4527">
      <w:pPr>
        <w:pStyle w:val="Opisslike"/>
        <w:spacing w:after="0"/>
        <w:jc w:val="both"/>
        <w:rPr>
          <w:rFonts w:ascii="Times New Roman" w:hAnsi="Times New Roman" w:cs="Times New Roman"/>
          <w:sz w:val="20"/>
          <w:szCs w:val="20"/>
        </w:rPr>
      </w:pPr>
    </w:p>
    <w:p w:rsidR="00581FE5" w:rsidRDefault="00581FE5" w:rsidP="002D4527">
      <w:pPr>
        <w:pStyle w:val="Opisslike"/>
        <w:spacing w:after="0"/>
        <w:jc w:val="both"/>
        <w:rPr>
          <w:rFonts w:ascii="Times New Roman" w:hAnsi="Times New Roman" w:cs="Times New Roman"/>
          <w:sz w:val="20"/>
          <w:szCs w:val="20"/>
        </w:rPr>
      </w:pPr>
    </w:p>
    <w:p w:rsidR="00581FE5" w:rsidRDefault="00581FE5" w:rsidP="002D4527">
      <w:pPr>
        <w:pStyle w:val="Opisslike"/>
        <w:spacing w:after="0"/>
        <w:jc w:val="both"/>
        <w:rPr>
          <w:rFonts w:ascii="Times New Roman" w:hAnsi="Times New Roman" w:cs="Times New Roman"/>
          <w:sz w:val="20"/>
          <w:szCs w:val="20"/>
        </w:rPr>
      </w:pPr>
    </w:p>
    <w:p w:rsidR="009835A2" w:rsidRPr="00350787" w:rsidRDefault="009835A2" w:rsidP="002D4527">
      <w:pPr>
        <w:pStyle w:val="Opisslike"/>
        <w:spacing w:after="0"/>
        <w:jc w:val="both"/>
        <w:rPr>
          <w:rFonts w:ascii="Times New Roman" w:hAnsi="Times New Roman" w:cs="Times New Roman"/>
          <w:sz w:val="20"/>
          <w:szCs w:val="20"/>
        </w:rPr>
      </w:pPr>
      <w:bookmarkStart w:id="71" w:name="_Toc436402279"/>
      <w:r w:rsidRPr="006B7B79">
        <w:rPr>
          <w:rFonts w:ascii="Times New Roman" w:hAnsi="Times New Roman" w:cs="Times New Roman"/>
          <w:sz w:val="20"/>
          <w:szCs w:val="20"/>
        </w:rPr>
        <w:lastRenderedPageBreak/>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32</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2D4527" w:rsidRPr="006B7B79">
        <w:rPr>
          <w:rFonts w:ascii="Times New Roman" w:hAnsi="Times New Roman" w:cs="Times New Roman"/>
          <w:sz w:val="20"/>
          <w:szCs w:val="20"/>
        </w:rPr>
        <w:t xml:space="preserve"> Usluge telefona, pošte i prijevoza prema podacima iskazanim u financijskim izvještajima proračunskih i izvanproračunskih korisnika za 2013. i 2014. godinu te planu Državnog proračuna za 2015. godinu</w:t>
      </w:r>
      <w:bookmarkEnd w:id="71"/>
    </w:p>
    <w:p w:rsidR="00463086" w:rsidRPr="00FA7F54" w:rsidRDefault="00692A52" w:rsidP="00350787">
      <w:pPr>
        <w:spacing w:line="240" w:lineRule="auto"/>
        <w:jc w:val="center"/>
        <w:rPr>
          <w:rFonts w:ascii="Times New Roman" w:hAnsi="Times New Roman" w:cs="Times New Roman"/>
        </w:rPr>
      </w:pPr>
      <w:r w:rsidRPr="00692A52">
        <w:rPr>
          <w:noProof/>
          <w:lang w:eastAsia="hr-HR"/>
        </w:rPr>
        <w:drawing>
          <wp:inline distT="0" distB="0" distL="0" distR="0" wp14:anchorId="5F230750" wp14:editId="5DDC6845">
            <wp:extent cx="5760720" cy="2436457"/>
            <wp:effectExtent l="0" t="0" r="0" b="254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2436457"/>
                    </a:xfrm>
                    <a:prstGeom prst="rect">
                      <a:avLst/>
                    </a:prstGeom>
                    <a:noFill/>
                    <a:ln>
                      <a:noFill/>
                    </a:ln>
                  </pic:spPr>
                </pic:pic>
              </a:graphicData>
            </a:graphic>
          </wp:inline>
        </w:drawing>
      </w:r>
    </w:p>
    <w:p w:rsidR="00655C82" w:rsidRPr="00FA7F54" w:rsidRDefault="00EF615F" w:rsidP="00C83540">
      <w:pPr>
        <w:spacing w:line="240" w:lineRule="auto"/>
        <w:rPr>
          <w:rFonts w:ascii="Times New Roman" w:hAnsi="Times New Roman" w:cs="Times New Roman"/>
        </w:rPr>
      </w:pPr>
      <w:r w:rsidRPr="00FA7F54">
        <w:rPr>
          <w:rFonts w:ascii="Times New Roman" w:hAnsi="Times New Roman" w:cs="Times New Roman"/>
        </w:rPr>
        <w:t xml:space="preserve">Navedeni rashodi uključuju Usluge telefona, telefaksa, Usluge </w:t>
      </w:r>
      <w:proofErr w:type="spellStart"/>
      <w:r w:rsidRPr="00FA7F54">
        <w:rPr>
          <w:rFonts w:ascii="Times New Roman" w:hAnsi="Times New Roman" w:cs="Times New Roman"/>
        </w:rPr>
        <w:t>interneta</w:t>
      </w:r>
      <w:proofErr w:type="spellEnd"/>
      <w:r w:rsidRPr="00FA7F54">
        <w:rPr>
          <w:rFonts w:ascii="Times New Roman" w:hAnsi="Times New Roman" w:cs="Times New Roman"/>
        </w:rPr>
        <w:t xml:space="preserve">, Poštarina (pisma, tiskanice i sl.), </w:t>
      </w:r>
      <w:proofErr w:type="spellStart"/>
      <w:r w:rsidRPr="00FA7F54">
        <w:rPr>
          <w:rFonts w:ascii="Times New Roman" w:hAnsi="Times New Roman" w:cs="Times New Roman"/>
        </w:rPr>
        <w:t>Rent</w:t>
      </w:r>
      <w:proofErr w:type="spellEnd"/>
      <w:r w:rsidRPr="00FA7F54">
        <w:rPr>
          <w:rFonts w:ascii="Times New Roman" w:hAnsi="Times New Roman" w:cs="Times New Roman"/>
        </w:rPr>
        <w:t>-a-car i taxi prijevoz i Ostale usluge za komunikaciju i prijevoz.</w:t>
      </w:r>
      <w:r w:rsidR="007D11E8" w:rsidRPr="00FA7F54">
        <w:rPr>
          <w:rFonts w:ascii="Times New Roman" w:hAnsi="Times New Roman" w:cs="Times New Roman"/>
        </w:rPr>
        <w:t xml:space="preserve"> </w:t>
      </w:r>
    </w:p>
    <w:p w:rsidR="009835A2" w:rsidRPr="00350787" w:rsidRDefault="009835A2" w:rsidP="006B7B79">
      <w:pPr>
        <w:pStyle w:val="Opisslike"/>
        <w:spacing w:after="0"/>
        <w:jc w:val="both"/>
        <w:rPr>
          <w:rFonts w:ascii="Times New Roman" w:hAnsi="Times New Roman" w:cs="Times New Roman"/>
          <w:sz w:val="20"/>
          <w:szCs w:val="20"/>
        </w:rPr>
      </w:pPr>
      <w:bookmarkStart w:id="72" w:name="_Toc436402280"/>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33</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9F3A43" w:rsidRPr="006B7B79">
        <w:rPr>
          <w:rFonts w:ascii="Times New Roman" w:hAnsi="Times New Roman" w:cs="Times New Roman"/>
          <w:sz w:val="20"/>
          <w:szCs w:val="20"/>
        </w:rPr>
        <w:t xml:space="preserve"> Usluge telefona, pošte i prijevoza prema podacima iskazanim u državnom proračunu – izvršenje za 2014. (u mil.</w:t>
      </w:r>
      <w:r w:rsidR="00350787">
        <w:rPr>
          <w:rFonts w:ascii="Times New Roman" w:hAnsi="Times New Roman" w:cs="Times New Roman"/>
          <w:sz w:val="20"/>
          <w:szCs w:val="20"/>
        </w:rPr>
        <w:t xml:space="preserve"> kuna</w:t>
      </w:r>
      <w:r w:rsidR="009F3A43" w:rsidRPr="006B7B79">
        <w:rPr>
          <w:rFonts w:ascii="Times New Roman" w:hAnsi="Times New Roman" w:cs="Times New Roman"/>
          <w:sz w:val="20"/>
          <w:szCs w:val="20"/>
        </w:rPr>
        <w:t>)</w:t>
      </w:r>
      <w:bookmarkEnd w:id="72"/>
    </w:p>
    <w:tbl>
      <w:tblPr>
        <w:tblW w:w="7500" w:type="dxa"/>
        <w:jc w:val="center"/>
        <w:tblInd w:w="93" w:type="dxa"/>
        <w:tblLook w:val="04A0" w:firstRow="1" w:lastRow="0" w:firstColumn="1" w:lastColumn="0" w:noHBand="0" w:noVBand="1"/>
      </w:tblPr>
      <w:tblGrid>
        <w:gridCol w:w="1360"/>
        <w:gridCol w:w="1340"/>
        <w:gridCol w:w="960"/>
        <w:gridCol w:w="960"/>
        <w:gridCol w:w="960"/>
        <w:gridCol w:w="960"/>
        <w:gridCol w:w="1141"/>
      </w:tblGrid>
      <w:tr w:rsidR="00C03B9C" w:rsidRPr="00E826C0" w:rsidTr="00350787">
        <w:trPr>
          <w:trHeight w:val="1110"/>
          <w:jc w:val="center"/>
        </w:trPr>
        <w:tc>
          <w:tcPr>
            <w:tcW w:w="1360"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C03B9C" w:rsidRPr="00E826C0" w:rsidRDefault="00C03B9C" w:rsidP="00350787">
            <w:pPr>
              <w:spacing w:after="0" w:line="240" w:lineRule="auto"/>
              <w:jc w:val="center"/>
              <w:rPr>
                <w:rFonts w:ascii="Arial" w:eastAsia="Times New Roman" w:hAnsi="Arial" w:cs="Arial"/>
                <w:b/>
                <w:bCs/>
                <w:sz w:val="16"/>
                <w:szCs w:val="16"/>
                <w:lang w:eastAsia="hr-HR"/>
              </w:rPr>
            </w:pPr>
            <w:r w:rsidRPr="00E826C0">
              <w:rPr>
                <w:rFonts w:ascii="Arial" w:eastAsia="Times New Roman" w:hAnsi="Arial" w:cs="Arial"/>
                <w:b/>
                <w:bCs/>
                <w:sz w:val="16"/>
                <w:szCs w:val="16"/>
                <w:lang w:eastAsia="hr-HR"/>
              </w:rPr>
              <w:t>Izvršenje 2014.</w:t>
            </w:r>
          </w:p>
        </w:tc>
        <w:tc>
          <w:tcPr>
            <w:tcW w:w="1340" w:type="dxa"/>
            <w:tcBorders>
              <w:top w:val="single" w:sz="4" w:space="0" w:color="000080"/>
              <w:left w:val="nil"/>
              <w:bottom w:val="single" w:sz="4" w:space="0" w:color="000080"/>
              <w:right w:val="single" w:sz="4" w:space="0" w:color="000080"/>
            </w:tcBorders>
            <w:shd w:val="clear" w:color="000000" w:fill="DCE6F1"/>
            <w:vAlign w:val="center"/>
            <w:hideMark/>
          </w:tcPr>
          <w:p w:rsidR="00C03B9C" w:rsidRPr="00E826C0" w:rsidRDefault="00C03B9C" w:rsidP="00350787">
            <w:pPr>
              <w:spacing w:after="0" w:line="240" w:lineRule="auto"/>
              <w:jc w:val="center"/>
              <w:rPr>
                <w:rFonts w:ascii="Arial" w:eastAsia="Times New Roman" w:hAnsi="Arial" w:cs="Arial"/>
                <w:b/>
                <w:bCs/>
                <w:color w:val="000000"/>
                <w:sz w:val="16"/>
                <w:szCs w:val="16"/>
                <w:lang w:eastAsia="hr-HR"/>
              </w:rPr>
            </w:pPr>
            <w:r w:rsidRPr="00E826C0">
              <w:rPr>
                <w:rFonts w:ascii="Arial" w:eastAsia="Times New Roman" w:hAnsi="Arial" w:cs="Arial"/>
                <w:b/>
                <w:bCs/>
                <w:color w:val="000000"/>
                <w:sz w:val="16"/>
                <w:szCs w:val="16"/>
                <w:lang w:eastAsia="hr-HR"/>
              </w:rPr>
              <w:t>Usluge telefona, pošte i prijevoza</w:t>
            </w:r>
          </w:p>
        </w:tc>
        <w:tc>
          <w:tcPr>
            <w:tcW w:w="960" w:type="dxa"/>
            <w:tcBorders>
              <w:top w:val="single" w:sz="4" w:space="0" w:color="000080"/>
              <w:left w:val="nil"/>
              <w:bottom w:val="single" w:sz="4" w:space="0" w:color="000080"/>
              <w:right w:val="single" w:sz="4" w:space="0" w:color="000080"/>
            </w:tcBorders>
            <w:shd w:val="clear" w:color="000000" w:fill="DCE6F1"/>
            <w:vAlign w:val="center"/>
            <w:hideMark/>
          </w:tcPr>
          <w:p w:rsidR="00C03B9C" w:rsidRPr="00E826C0" w:rsidRDefault="00C03B9C" w:rsidP="00350787">
            <w:pPr>
              <w:spacing w:after="0" w:line="240" w:lineRule="auto"/>
              <w:jc w:val="center"/>
              <w:rPr>
                <w:rFonts w:ascii="Arial" w:eastAsia="Times New Roman" w:hAnsi="Arial" w:cs="Arial"/>
                <w:color w:val="000000"/>
                <w:sz w:val="16"/>
                <w:szCs w:val="16"/>
                <w:lang w:eastAsia="hr-HR"/>
              </w:rPr>
            </w:pPr>
            <w:r w:rsidRPr="00E826C0">
              <w:rPr>
                <w:rFonts w:ascii="Arial" w:eastAsia="Times New Roman" w:hAnsi="Arial" w:cs="Arial"/>
                <w:color w:val="000000"/>
                <w:sz w:val="16"/>
                <w:szCs w:val="16"/>
                <w:lang w:eastAsia="hr-HR"/>
              </w:rPr>
              <w:t>Usluge telefona, telefaksa</w:t>
            </w:r>
          </w:p>
        </w:tc>
        <w:tc>
          <w:tcPr>
            <w:tcW w:w="960" w:type="dxa"/>
            <w:tcBorders>
              <w:top w:val="single" w:sz="4" w:space="0" w:color="000080"/>
              <w:left w:val="nil"/>
              <w:bottom w:val="single" w:sz="4" w:space="0" w:color="000080"/>
              <w:right w:val="single" w:sz="4" w:space="0" w:color="000080"/>
            </w:tcBorders>
            <w:shd w:val="clear" w:color="000000" w:fill="DCE6F1"/>
            <w:vAlign w:val="center"/>
            <w:hideMark/>
          </w:tcPr>
          <w:p w:rsidR="00C03B9C" w:rsidRPr="00E826C0" w:rsidRDefault="00C03B9C" w:rsidP="00350787">
            <w:pPr>
              <w:spacing w:after="0" w:line="240" w:lineRule="auto"/>
              <w:jc w:val="center"/>
              <w:rPr>
                <w:rFonts w:ascii="Arial" w:eastAsia="Times New Roman" w:hAnsi="Arial" w:cs="Arial"/>
                <w:color w:val="000000"/>
                <w:sz w:val="16"/>
                <w:szCs w:val="16"/>
                <w:lang w:eastAsia="hr-HR"/>
              </w:rPr>
            </w:pPr>
            <w:r w:rsidRPr="00E826C0">
              <w:rPr>
                <w:rFonts w:ascii="Arial" w:eastAsia="Times New Roman" w:hAnsi="Arial" w:cs="Arial"/>
                <w:color w:val="000000"/>
                <w:sz w:val="16"/>
                <w:szCs w:val="16"/>
                <w:lang w:eastAsia="hr-HR"/>
              </w:rPr>
              <w:t xml:space="preserve">Usluge </w:t>
            </w:r>
            <w:proofErr w:type="spellStart"/>
            <w:r w:rsidRPr="00E826C0">
              <w:rPr>
                <w:rFonts w:ascii="Arial" w:eastAsia="Times New Roman" w:hAnsi="Arial" w:cs="Arial"/>
                <w:color w:val="000000"/>
                <w:sz w:val="16"/>
                <w:szCs w:val="16"/>
                <w:lang w:eastAsia="hr-HR"/>
              </w:rPr>
              <w:t>interneta</w:t>
            </w:r>
            <w:proofErr w:type="spellEnd"/>
          </w:p>
        </w:tc>
        <w:tc>
          <w:tcPr>
            <w:tcW w:w="960" w:type="dxa"/>
            <w:tcBorders>
              <w:top w:val="single" w:sz="4" w:space="0" w:color="000080"/>
              <w:left w:val="nil"/>
              <w:bottom w:val="single" w:sz="4" w:space="0" w:color="000080"/>
              <w:right w:val="single" w:sz="4" w:space="0" w:color="000080"/>
            </w:tcBorders>
            <w:shd w:val="clear" w:color="000000" w:fill="DCE6F1"/>
            <w:vAlign w:val="center"/>
            <w:hideMark/>
          </w:tcPr>
          <w:p w:rsidR="00C03B9C" w:rsidRPr="00E826C0" w:rsidRDefault="00C03B9C" w:rsidP="00350787">
            <w:pPr>
              <w:spacing w:after="0" w:line="240" w:lineRule="auto"/>
              <w:jc w:val="center"/>
              <w:rPr>
                <w:rFonts w:ascii="Arial" w:eastAsia="Times New Roman" w:hAnsi="Arial" w:cs="Arial"/>
                <w:color w:val="000000"/>
                <w:sz w:val="16"/>
                <w:szCs w:val="16"/>
                <w:lang w:eastAsia="hr-HR"/>
              </w:rPr>
            </w:pPr>
            <w:r w:rsidRPr="00E826C0">
              <w:rPr>
                <w:rFonts w:ascii="Arial" w:eastAsia="Times New Roman" w:hAnsi="Arial" w:cs="Arial"/>
                <w:color w:val="000000"/>
                <w:sz w:val="16"/>
                <w:szCs w:val="16"/>
                <w:lang w:eastAsia="hr-HR"/>
              </w:rPr>
              <w:t>Poštarina (pisma, tiskanice i sl.)</w:t>
            </w:r>
          </w:p>
        </w:tc>
        <w:tc>
          <w:tcPr>
            <w:tcW w:w="960" w:type="dxa"/>
            <w:tcBorders>
              <w:top w:val="single" w:sz="4" w:space="0" w:color="000080"/>
              <w:left w:val="nil"/>
              <w:bottom w:val="single" w:sz="4" w:space="0" w:color="000080"/>
              <w:right w:val="single" w:sz="4" w:space="0" w:color="000080"/>
            </w:tcBorders>
            <w:shd w:val="clear" w:color="000000" w:fill="DCE6F1"/>
            <w:vAlign w:val="center"/>
            <w:hideMark/>
          </w:tcPr>
          <w:p w:rsidR="00C03B9C" w:rsidRPr="00E826C0" w:rsidRDefault="00C03B9C" w:rsidP="00350787">
            <w:pPr>
              <w:spacing w:after="0" w:line="240" w:lineRule="auto"/>
              <w:jc w:val="center"/>
              <w:rPr>
                <w:rFonts w:ascii="Arial" w:eastAsia="Times New Roman" w:hAnsi="Arial" w:cs="Arial"/>
                <w:color w:val="000000"/>
                <w:sz w:val="16"/>
                <w:szCs w:val="16"/>
                <w:lang w:eastAsia="hr-HR"/>
              </w:rPr>
            </w:pPr>
            <w:proofErr w:type="spellStart"/>
            <w:r w:rsidRPr="00E826C0">
              <w:rPr>
                <w:rFonts w:ascii="Arial" w:eastAsia="Times New Roman" w:hAnsi="Arial" w:cs="Arial"/>
                <w:color w:val="000000"/>
                <w:sz w:val="16"/>
                <w:szCs w:val="16"/>
                <w:lang w:eastAsia="hr-HR"/>
              </w:rPr>
              <w:t>Rent</w:t>
            </w:r>
            <w:proofErr w:type="spellEnd"/>
            <w:r w:rsidRPr="00E826C0">
              <w:rPr>
                <w:rFonts w:ascii="Arial" w:eastAsia="Times New Roman" w:hAnsi="Arial" w:cs="Arial"/>
                <w:color w:val="000000"/>
                <w:sz w:val="16"/>
                <w:szCs w:val="16"/>
                <w:lang w:eastAsia="hr-HR"/>
              </w:rPr>
              <w:t>-a-car i taxi prijevoz</w:t>
            </w:r>
          </w:p>
        </w:tc>
        <w:tc>
          <w:tcPr>
            <w:tcW w:w="960" w:type="dxa"/>
            <w:tcBorders>
              <w:top w:val="single" w:sz="4" w:space="0" w:color="000080"/>
              <w:left w:val="nil"/>
              <w:bottom w:val="single" w:sz="4" w:space="0" w:color="000080"/>
              <w:right w:val="single" w:sz="4" w:space="0" w:color="000080"/>
            </w:tcBorders>
            <w:shd w:val="clear" w:color="000000" w:fill="DCE6F1"/>
            <w:vAlign w:val="center"/>
            <w:hideMark/>
          </w:tcPr>
          <w:p w:rsidR="00C03B9C" w:rsidRPr="00E826C0" w:rsidRDefault="00C03B9C" w:rsidP="00350787">
            <w:pPr>
              <w:spacing w:after="0" w:line="240" w:lineRule="auto"/>
              <w:jc w:val="center"/>
              <w:rPr>
                <w:rFonts w:ascii="Arial" w:eastAsia="Times New Roman" w:hAnsi="Arial" w:cs="Arial"/>
                <w:color w:val="000000"/>
                <w:sz w:val="16"/>
                <w:szCs w:val="16"/>
                <w:lang w:eastAsia="hr-HR"/>
              </w:rPr>
            </w:pPr>
            <w:r w:rsidRPr="00E826C0">
              <w:rPr>
                <w:rFonts w:ascii="Arial" w:eastAsia="Times New Roman" w:hAnsi="Arial" w:cs="Arial"/>
                <w:color w:val="000000"/>
                <w:sz w:val="16"/>
                <w:szCs w:val="16"/>
                <w:lang w:eastAsia="hr-HR"/>
              </w:rPr>
              <w:t>Ostale usluge za komunikaciju i prijevoz</w:t>
            </w:r>
          </w:p>
        </w:tc>
      </w:tr>
      <w:tr w:rsidR="00C03B9C" w:rsidRPr="00E826C0" w:rsidTr="00350787">
        <w:trPr>
          <w:trHeight w:val="300"/>
          <w:jc w:val="center"/>
        </w:trPr>
        <w:tc>
          <w:tcPr>
            <w:tcW w:w="1360" w:type="dxa"/>
            <w:tcBorders>
              <w:top w:val="nil"/>
              <w:left w:val="single" w:sz="4" w:space="0" w:color="000080"/>
              <w:bottom w:val="single" w:sz="4" w:space="0" w:color="000080"/>
              <w:right w:val="single" w:sz="4" w:space="0" w:color="000080"/>
            </w:tcBorders>
            <w:shd w:val="clear" w:color="000000" w:fill="DCE6F1"/>
            <w:noWrap/>
            <w:vAlign w:val="center"/>
            <w:hideMark/>
          </w:tcPr>
          <w:p w:rsidR="00C03B9C" w:rsidRPr="00E826C0" w:rsidRDefault="00C03B9C" w:rsidP="00E826C0">
            <w:pPr>
              <w:spacing w:after="0" w:line="240" w:lineRule="auto"/>
              <w:ind w:firstLineChars="200" w:firstLine="320"/>
              <w:rPr>
                <w:rFonts w:ascii="Arial" w:eastAsia="Times New Roman" w:hAnsi="Arial" w:cs="Arial"/>
                <w:sz w:val="16"/>
                <w:szCs w:val="16"/>
                <w:lang w:eastAsia="hr-HR"/>
              </w:rPr>
            </w:pPr>
            <w:r w:rsidRPr="00E826C0">
              <w:rPr>
                <w:rFonts w:ascii="Arial" w:eastAsia="Times New Roman" w:hAnsi="Arial" w:cs="Arial"/>
                <w:sz w:val="16"/>
                <w:szCs w:val="16"/>
                <w:lang w:eastAsia="hr-HR"/>
              </w:rPr>
              <w:t>- Ukupno</w:t>
            </w:r>
          </w:p>
        </w:tc>
        <w:tc>
          <w:tcPr>
            <w:tcW w:w="1340" w:type="dxa"/>
            <w:tcBorders>
              <w:top w:val="nil"/>
              <w:left w:val="nil"/>
              <w:bottom w:val="single" w:sz="4" w:space="0" w:color="000080"/>
              <w:right w:val="single" w:sz="4" w:space="0" w:color="000080"/>
            </w:tcBorders>
            <w:shd w:val="clear" w:color="000000" w:fill="DCE6F1"/>
            <w:noWrap/>
            <w:vAlign w:val="center"/>
            <w:hideMark/>
          </w:tcPr>
          <w:p w:rsidR="00C03B9C" w:rsidRPr="00E826C0" w:rsidRDefault="00C03B9C" w:rsidP="00C03B9C">
            <w:pPr>
              <w:spacing w:after="0" w:line="240" w:lineRule="auto"/>
              <w:jc w:val="right"/>
              <w:rPr>
                <w:rFonts w:ascii="Arial" w:eastAsia="Times New Roman" w:hAnsi="Arial" w:cs="Arial"/>
                <w:color w:val="000000"/>
                <w:sz w:val="16"/>
                <w:szCs w:val="16"/>
                <w:lang w:eastAsia="hr-HR"/>
              </w:rPr>
            </w:pPr>
            <w:r w:rsidRPr="00E826C0">
              <w:rPr>
                <w:rFonts w:ascii="Arial" w:eastAsia="Times New Roman" w:hAnsi="Arial" w:cs="Arial"/>
                <w:color w:val="000000"/>
                <w:sz w:val="16"/>
                <w:szCs w:val="16"/>
                <w:lang w:eastAsia="hr-HR"/>
              </w:rPr>
              <w:t>459,511</w:t>
            </w:r>
          </w:p>
        </w:tc>
        <w:tc>
          <w:tcPr>
            <w:tcW w:w="960" w:type="dxa"/>
            <w:tcBorders>
              <w:top w:val="nil"/>
              <w:left w:val="nil"/>
              <w:bottom w:val="single" w:sz="4" w:space="0" w:color="000080"/>
              <w:right w:val="single" w:sz="4" w:space="0" w:color="000080"/>
            </w:tcBorders>
            <w:shd w:val="clear" w:color="000000" w:fill="DCE6F1"/>
            <w:noWrap/>
            <w:vAlign w:val="center"/>
            <w:hideMark/>
          </w:tcPr>
          <w:p w:rsidR="00C03B9C" w:rsidRPr="00E826C0" w:rsidRDefault="00C03B9C" w:rsidP="00C03B9C">
            <w:pPr>
              <w:spacing w:after="0" w:line="240" w:lineRule="auto"/>
              <w:jc w:val="right"/>
              <w:rPr>
                <w:rFonts w:ascii="Arial" w:eastAsia="Times New Roman" w:hAnsi="Arial" w:cs="Arial"/>
                <w:color w:val="000000"/>
                <w:sz w:val="16"/>
                <w:szCs w:val="16"/>
                <w:lang w:eastAsia="hr-HR"/>
              </w:rPr>
            </w:pPr>
            <w:r w:rsidRPr="00E826C0">
              <w:rPr>
                <w:rFonts w:ascii="Arial" w:eastAsia="Times New Roman" w:hAnsi="Arial" w:cs="Arial"/>
                <w:color w:val="000000"/>
                <w:sz w:val="16"/>
                <w:szCs w:val="16"/>
                <w:lang w:eastAsia="hr-HR"/>
              </w:rPr>
              <w:t>145,131</w:t>
            </w:r>
          </w:p>
        </w:tc>
        <w:tc>
          <w:tcPr>
            <w:tcW w:w="960" w:type="dxa"/>
            <w:tcBorders>
              <w:top w:val="nil"/>
              <w:left w:val="nil"/>
              <w:bottom w:val="single" w:sz="4" w:space="0" w:color="000080"/>
              <w:right w:val="single" w:sz="4" w:space="0" w:color="000080"/>
            </w:tcBorders>
            <w:shd w:val="clear" w:color="000000" w:fill="DCE6F1"/>
            <w:noWrap/>
            <w:vAlign w:val="center"/>
            <w:hideMark/>
          </w:tcPr>
          <w:p w:rsidR="00C03B9C" w:rsidRPr="00E826C0" w:rsidRDefault="00C03B9C" w:rsidP="00C03B9C">
            <w:pPr>
              <w:spacing w:after="0" w:line="240" w:lineRule="auto"/>
              <w:jc w:val="right"/>
              <w:rPr>
                <w:rFonts w:ascii="Arial" w:eastAsia="Times New Roman" w:hAnsi="Arial" w:cs="Arial"/>
                <w:color w:val="000000"/>
                <w:sz w:val="16"/>
                <w:szCs w:val="16"/>
                <w:lang w:eastAsia="hr-HR"/>
              </w:rPr>
            </w:pPr>
            <w:r w:rsidRPr="00E826C0">
              <w:rPr>
                <w:rFonts w:ascii="Arial" w:eastAsia="Times New Roman" w:hAnsi="Arial" w:cs="Arial"/>
                <w:color w:val="000000"/>
                <w:sz w:val="16"/>
                <w:szCs w:val="16"/>
                <w:lang w:eastAsia="hr-HR"/>
              </w:rPr>
              <w:t>21,109</w:t>
            </w:r>
          </w:p>
        </w:tc>
        <w:tc>
          <w:tcPr>
            <w:tcW w:w="960" w:type="dxa"/>
            <w:tcBorders>
              <w:top w:val="nil"/>
              <w:left w:val="nil"/>
              <w:bottom w:val="single" w:sz="4" w:space="0" w:color="000080"/>
              <w:right w:val="single" w:sz="4" w:space="0" w:color="000080"/>
            </w:tcBorders>
            <w:shd w:val="clear" w:color="000000" w:fill="DCE6F1"/>
            <w:noWrap/>
            <w:vAlign w:val="center"/>
            <w:hideMark/>
          </w:tcPr>
          <w:p w:rsidR="00C03B9C" w:rsidRPr="00E826C0" w:rsidRDefault="00C03B9C" w:rsidP="00C03B9C">
            <w:pPr>
              <w:spacing w:after="0" w:line="240" w:lineRule="auto"/>
              <w:jc w:val="right"/>
              <w:rPr>
                <w:rFonts w:ascii="Arial" w:eastAsia="Times New Roman" w:hAnsi="Arial" w:cs="Arial"/>
                <w:color w:val="000000"/>
                <w:sz w:val="16"/>
                <w:szCs w:val="16"/>
                <w:lang w:eastAsia="hr-HR"/>
              </w:rPr>
            </w:pPr>
            <w:r w:rsidRPr="00E826C0">
              <w:rPr>
                <w:rFonts w:ascii="Arial" w:eastAsia="Times New Roman" w:hAnsi="Arial" w:cs="Arial"/>
                <w:color w:val="000000"/>
                <w:sz w:val="16"/>
                <w:szCs w:val="16"/>
                <w:lang w:eastAsia="hr-HR"/>
              </w:rPr>
              <w:t>167,808</w:t>
            </w:r>
          </w:p>
        </w:tc>
        <w:tc>
          <w:tcPr>
            <w:tcW w:w="960" w:type="dxa"/>
            <w:tcBorders>
              <w:top w:val="nil"/>
              <w:left w:val="nil"/>
              <w:bottom w:val="single" w:sz="4" w:space="0" w:color="000080"/>
              <w:right w:val="single" w:sz="4" w:space="0" w:color="000080"/>
            </w:tcBorders>
            <w:shd w:val="clear" w:color="000000" w:fill="DCE6F1"/>
            <w:noWrap/>
            <w:vAlign w:val="center"/>
            <w:hideMark/>
          </w:tcPr>
          <w:p w:rsidR="00C03B9C" w:rsidRPr="00E826C0" w:rsidRDefault="007D11E8" w:rsidP="00C03B9C">
            <w:pPr>
              <w:spacing w:after="0" w:line="240" w:lineRule="auto"/>
              <w:jc w:val="right"/>
              <w:rPr>
                <w:rFonts w:ascii="Arial" w:eastAsia="Times New Roman" w:hAnsi="Arial" w:cs="Arial"/>
                <w:color w:val="000000"/>
                <w:sz w:val="16"/>
                <w:szCs w:val="16"/>
                <w:lang w:eastAsia="hr-HR"/>
              </w:rPr>
            </w:pPr>
            <w:r w:rsidRPr="00E826C0">
              <w:rPr>
                <w:rFonts w:ascii="Arial" w:eastAsia="Times New Roman" w:hAnsi="Arial" w:cs="Arial"/>
                <w:color w:val="000000"/>
                <w:sz w:val="16"/>
                <w:szCs w:val="16"/>
                <w:lang w:eastAsia="hr-HR"/>
              </w:rPr>
              <w:t>0</w:t>
            </w:r>
            <w:r w:rsidR="00C03B9C" w:rsidRPr="00E826C0">
              <w:rPr>
                <w:rFonts w:ascii="Arial" w:eastAsia="Times New Roman" w:hAnsi="Arial" w:cs="Arial"/>
                <w:color w:val="000000"/>
                <w:sz w:val="16"/>
                <w:szCs w:val="16"/>
                <w:lang w:eastAsia="hr-HR"/>
              </w:rPr>
              <w:t>,398</w:t>
            </w:r>
          </w:p>
        </w:tc>
        <w:tc>
          <w:tcPr>
            <w:tcW w:w="960" w:type="dxa"/>
            <w:tcBorders>
              <w:top w:val="nil"/>
              <w:left w:val="nil"/>
              <w:bottom w:val="single" w:sz="4" w:space="0" w:color="000080"/>
              <w:right w:val="single" w:sz="4" w:space="0" w:color="000080"/>
            </w:tcBorders>
            <w:shd w:val="clear" w:color="000000" w:fill="DCE6F1"/>
            <w:noWrap/>
            <w:vAlign w:val="center"/>
            <w:hideMark/>
          </w:tcPr>
          <w:p w:rsidR="00C03B9C" w:rsidRPr="00E826C0" w:rsidRDefault="00C03B9C" w:rsidP="00C03B9C">
            <w:pPr>
              <w:spacing w:after="0" w:line="240" w:lineRule="auto"/>
              <w:jc w:val="right"/>
              <w:rPr>
                <w:rFonts w:ascii="Arial" w:eastAsia="Times New Roman" w:hAnsi="Arial" w:cs="Arial"/>
                <w:color w:val="000000"/>
                <w:sz w:val="16"/>
                <w:szCs w:val="16"/>
                <w:lang w:eastAsia="hr-HR"/>
              </w:rPr>
            </w:pPr>
            <w:r w:rsidRPr="00E826C0">
              <w:rPr>
                <w:rFonts w:ascii="Arial" w:eastAsia="Times New Roman" w:hAnsi="Arial" w:cs="Arial"/>
                <w:color w:val="000000"/>
                <w:sz w:val="16"/>
                <w:szCs w:val="16"/>
                <w:lang w:eastAsia="hr-HR"/>
              </w:rPr>
              <w:t>125,065</w:t>
            </w:r>
          </w:p>
        </w:tc>
      </w:tr>
      <w:tr w:rsidR="00C03B9C" w:rsidRPr="00E826C0" w:rsidTr="00350787">
        <w:trPr>
          <w:trHeight w:val="300"/>
          <w:jc w:val="center"/>
        </w:trPr>
        <w:tc>
          <w:tcPr>
            <w:tcW w:w="1360" w:type="dxa"/>
            <w:tcBorders>
              <w:top w:val="nil"/>
              <w:left w:val="single" w:sz="4" w:space="0" w:color="000080"/>
              <w:bottom w:val="single" w:sz="4" w:space="0" w:color="000080"/>
              <w:right w:val="single" w:sz="4" w:space="0" w:color="000080"/>
            </w:tcBorders>
            <w:shd w:val="clear" w:color="auto" w:fill="auto"/>
            <w:noWrap/>
            <w:vAlign w:val="center"/>
            <w:hideMark/>
          </w:tcPr>
          <w:p w:rsidR="00C03B9C" w:rsidRPr="00E826C0" w:rsidRDefault="00C03B9C" w:rsidP="00E826C0">
            <w:pPr>
              <w:spacing w:after="0" w:line="240" w:lineRule="auto"/>
              <w:ind w:firstLineChars="200" w:firstLine="320"/>
              <w:rPr>
                <w:rFonts w:ascii="Arial" w:eastAsia="Times New Roman" w:hAnsi="Arial" w:cs="Arial"/>
                <w:sz w:val="16"/>
                <w:szCs w:val="16"/>
                <w:lang w:eastAsia="hr-HR"/>
              </w:rPr>
            </w:pPr>
            <w:r w:rsidRPr="00E826C0">
              <w:rPr>
                <w:rFonts w:ascii="Arial" w:eastAsia="Times New Roman" w:hAnsi="Arial" w:cs="Arial"/>
                <w:sz w:val="16"/>
                <w:szCs w:val="16"/>
                <w:lang w:eastAsia="hr-HR"/>
              </w:rPr>
              <w:t>- 1+2+8</w:t>
            </w:r>
          </w:p>
        </w:tc>
        <w:tc>
          <w:tcPr>
            <w:tcW w:w="1340" w:type="dxa"/>
            <w:tcBorders>
              <w:top w:val="nil"/>
              <w:left w:val="nil"/>
              <w:bottom w:val="single" w:sz="4" w:space="0" w:color="000080"/>
              <w:right w:val="single" w:sz="4" w:space="0" w:color="000080"/>
            </w:tcBorders>
            <w:shd w:val="clear" w:color="auto" w:fill="auto"/>
            <w:noWrap/>
            <w:vAlign w:val="center"/>
            <w:hideMark/>
          </w:tcPr>
          <w:p w:rsidR="00C03B9C" w:rsidRPr="00E826C0" w:rsidRDefault="00C03B9C" w:rsidP="00C03B9C">
            <w:pPr>
              <w:spacing w:after="0" w:line="240" w:lineRule="auto"/>
              <w:jc w:val="right"/>
              <w:rPr>
                <w:rFonts w:ascii="Arial" w:eastAsia="Times New Roman" w:hAnsi="Arial" w:cs="Arial"/>
                <w:color w:val="000000"/>
                <w:sz w:val="16"/>
                <w:szCs w:val="16"/>
                <w:lang w:eastAsia="hr-HR"/>
              </w:rPr>
            </w:pPr>
            <w:r w:rsidRPr="00E826C0">
              <w:rPr>
                <w:rFonts w:ascii="Arial" w:eastAsia="Times New Roman" w:hAnsi="Arial" w:cs="Arial"/>
                <w:color w:val="000000"/>
                <w:sz w:val="16"/>
                <w:szCs w:val="16"/>
                <w:lang w:eastAsia="hr-HR"/>
              </w:rPr>
              <w:t>442,57</w:t>
            </w:r>
            <w:r w:rsidR="00FB6968">
              <w:rPr>
                <w:rFonts w:ascii="Arial" w:eastAsia="Times New Roman" w:hAnsi="Arial" w:cs="Arial"/>
                <w:color w:val="000000"/>
                <w:sz w:val="16"/>
                <w:szCs w:val="16"/>
                <w:lang w:eastAsia="hr-HR"/>
              </w:rPr>
              <w:t>0</w:t>
            </w:r>
          </w:p>
        </w:tc>
        <w:tc>
          <w:tcPr>
            <w:tcW w:w="960" w:type="dxa"/>
            <w:tcBorders>
              <w:top w:val="nil"/>
              <w:left w:val="nil"/>
              <w:bottom w:val="single" w:sz="4" w:space="0" w:color="000080"/>
              <w:right w:val="single" w:sz="4" w:space="0" w:color="000080"/>
            </w:tcBorders>
            <w:shd w:val="clear" w:color="auto" w:fill="auto"/>
            <w:noWrap/>
            <w:vAlign w:val="center"/>
            <w:hideMark/>
          </w:tcPr>
          <w:p w:rsidR="00C03B9C" w:rsidRPr="00E826C0" w:rsidRDefault="00C03B9C" w:rsidP="00C03B9C">
            <w:pPr>
              <w:spacing w:after="0" w:line="240" w:lineRule="auto"/>
              <w:jc w:val="right"/>
              <w:rPr>
                <w:rFonts w:ascii="Arial" w:eastAsia="Times New Roman" w:hAnsi="Arial" w:cs="Arial"/>
                <w:color w:val="000000"/>
                <w:sz w:val="16"/>
                <w:szCs w:val="16"/>
                <w:lang w:eastAsia="hr-HR"/>
              </w:rPr>
            </w:pPr>
            <w:r w:rsidRPr="00E826C0">
              <w:rPr>
                <w:rFonts w:ascii="Arial" w:eastAsia="Times New Roman" w:hAnsi="Arial" w:cs="Arial"/>
                <w:color w:val="000000"/>
                <w:sz w:val="16"/>
                <w:szCs w:val="16"/>
                <w:lang w:eastAsia="hr-HR"/>
              </w:rPr>
              <w:t>142,685</w:t>
            </w:r>
          </w:p>
        </w:tc>
        <w:tc>
          <w:tcPr>
            <w:tcW w:w="960" w:type="dxa"/>
            <w:tcBorders>
              <w:top w:val="nil"/>
              <w:left w:val="nil"/>
              <w:bottom w:val="single" w:sz="4" w:space="0" w:color="000080"/>
              <w:right w:val="single" w:sz="4" w:space="0" w:color="000080"/>
            </w:tcBorders>
            <w:shd w:val="clear" w:color="auto" w:fill="auto"/>
            <w:noWrap/>
            <w:vAlign w:val="center"/>
            <w:hideMark/>
          </w:tcPr>
          <w:p w:rsidR="00C03B9C" w:rsidRPr="00E826C0" w:rsidRDefault="00C03B9C" w:rsidP="00C03B9C">
            <w:pPr>
              <w:spacing w:after="0" w:line="240" w:lineRule="auto"/>
              <w:jc w:val="right"/>
              <w:rPr>
                <w:rFonts w:ascii="Arial" w:eastAsia="Times New Roman" w:hAnsi="Arial" w:cs="Arial"/>
                <w:color w:val="000000"/>
                <w:sz w:val="16"/>
                <w:szCs w:val="16"/>
                <w:lang w:eastAsia="hr-HR"/>
              </w:rPr>
            </w:pPr>
            <w:r w:rsidRPr="00E826C0">
              <w:rPr>
                <w:rFonts w:ascii="Arial" w:eastAsia="Times New Roman" w:hAnsi="Arial" w:cs="Arial"/>
                <w:color w:val="000000"/>
                <w:sz w:val="16"/>
                <w:szCs w:val="16"/>
                <w:lang w:eastAsia="hr-HR"/>
              </w:rPr>
              <w:t>20,473</w:t>
            </w:r>
          </w:p>
        </w:tc>
        <w:tc>
          <w:tcPr>
            <w:tcW w:w="960" w:type="dxa"/>
            <w:tcBorders>
              <w:top w:val="nil"/>
              <w:left w:val="nil"/>
              <w:bottom w:val="single" w:sz="4" w:space="0" w:color="000080"/>
              <w:right w:val="single" w:sz="4" w:space="0" w:color="000080"/>
            </w:tcBorders>
            <w:shd w:val="clear" w:color="auto" w:fill="auto"/>
            <w:noWrap/>
            <w:vAlign w:val="center"/>
            <w:hideMark/>
          </w:tcPr>
          <w:p w:rsidR="00C03B9C" w:rsidRPr="00E826C0" w:rsidRDefault="00C03B9C" w:rsidP="00C03B9C">
            <w:pPr>
              <w:spacing w:after="0" w:line="240" w:lineRule="auto"/>
              <w:jc w:val="right"/>
              <w:rPr>
                <w:rFonts w:ascii="Arial" w:eastAsia="Times New Roman" w:hAnsi="Arial" w:cs="Arial"/>
                <w:color w:val="000000"/>
                <w:sz w:val="16"/>
                <w:szCs w:val="16"/>
                <w:lang w:eastAsia="hr-HR"/>
              </w:rPr>
            </w:pPr>
            <w:r w:rsidRPr="00E826C0">
              <w:rPr>
                <w:rFonts w:ascii="Arial" w:eastAsia="Times New Roman" w:hAnsi="Arial" w:cs="Arial"/>
                <w:color w:val="000000"/>
                <w:sz w:val="16"/>
                <w:szCs w:val="16"/>
                <w:lang w:eastAsia="hr-HR"/>
              </w:rPr>
              <w:t>156,38</w:t>
            </w:r>
            <w:r w:rsidR="008B2EB4" w:rsidRPr="00E826C0">
              <w:rPr>
                <w:rFonts w:ascii="Arial" w:eastAsia="Times New Roman" w:hAnsi="Arial" w:cs="Arial"/>
                <w:color w:val="000000"/>
                <w:sz w:val="16"/>
                <w:szCs w:val="16"/>
                <w:lang w:eastAsia="hr-HR"/>
              </w:rPr>
              <w:t>0</w:t>
            </w:r>
          </w:p>
        </w:tc>
        <w:tc>
          <w:tcPr>
            <w:tcW w:w="960" w:type="dxa"/>
            <w:tcBorders>
              <w:top w:val="nil"/>
              <w:left w:val="nil"/>
              <w:bottom w:val="single" w:sz="4" w:space="0" w:color="000080"/>
              <w:right w:val="single" w:sz="4" w:space="0" w:color="000080"/>
            </w:tcBorders>
            <w:shd w:val="clear" w:color="auto" w:fill="auto"/>
            <w:noWrap/>
            <w:vAlign w:val="center"/>
            <w:hideMark/>
          </w:tcPr>
          <w:p w:rsidR="00C03B9C" w:rsidRPr="00E826C0" w:rsidRDefault="007D11E8" w:rsidP="00C03B9C">
            <w:pPr>
              <w:spacing w:after="0" w:line="240" w:lineRule="auto"/>
              <w:jc w:val="right"/>
              <w:rPr>
                <w:rFonts w:ascii="Arial" w:eastAsia="Times New Roman" w:hAnsi="Arial" w:cs="Arial"/>
                <w:color w:val="000000"/>
                <w:sz w:val="16"/>
                <w:szCs w:val="16"/>
                <w:lang w:eastAsia="hr-HR"/>
              </w:rPr>
            </w:pPr>
            <w:r w:rsidRPr="00E826C0">
              <w:rPr>
                <w:rFonts w:ascii="Arial" w:eastAsia="Times New Roman" w:hAnsi="Arial" w:cs="Arial"/>
                <w:color w:val="000000"/>
                <w:sz w:val="16"/>
                <w:szCs w:val="16"/>
                <w:lang w:eastAsia="hr-HR"/>
              </w:rPr>
              <w:t>0</w:t>
            </w:r>
            <w:r w:rsidR="00C03B9C" w:rsidRPr="00E826C0">
              <w:rPr>
                <w:rFonts w:ascii="Arial" w:eastAsia="Times New Roman" w:hAnsi="Arial" w:cs="Arial"/>
                <w:color w:val="000000"/>
                <w:sz w:val="16"/>
                <w:szCs w:val="16"/>
                <w:lang w:eastAsia="hr-HR"/>
              </w:rPr>
              <w:t>,327</w:t>
            </w:r>
          </w:p>
        </w:tc>
        <w:tc>
          <w:tcPr>
            <w:tcW w:w="960" w:type="dxa"/>
            <w:tcBorders>
              <w:top w:val="nil"/>
              <w:left w:val="nil"/>
              <w:bottom w:val="single" w:sz="4" w:space="0" w:color="000080"/>
              <w:right w:val="single" w:sz="4" w:space="0" w:color="000080"/>
            </w:tcBorders>
            <w:shd w:val="clear" w:color="auto" w:fill="auto"/>
            <w:noWrap/>
            <w:vAlign w:val="center"/>
            <w:hideMark/>
          </w:tcPr>
          <w:p w:rsidR="00C03B9C" w:rsidRPr="00E826C0" w:rsidRDefault="00C03B9C" w:rsidP="00C03B9C">
            <w:pPr>
              <w:spacing w:after="0" w:line="240" w:lineRule="auto"/>
              <w:jc w:val="right"/>
              <w:rPr>
                <w:rFonts w:ascii="Arial" w:eastAsia="Times New Roman" w:hAnsi="Arial" w:cs="Arial"/>
                <w:color w:val="000000"/>
                <w:sz w:val="16"/>
                <w:szCs w:val="16"/>
                <w:lang w:eastAsia="hr-HR"/>
              </w:rPr>
            </w:pPr>
            <w:r w:rsidRPr="00E826C0">
              <w:rPr>
                <w:rFonts w:ascii="Arial" w:eastAsia="Times New Roman" w:hAnsi="Arial" w:cs="Arial"/>
                <w:color w:val="000000"/>
                <w:sz w:val="16"/>
                <w:szCs w:val="16"/>
                <w:lang w:eastAsia="hr-HR"/>
              </w:rPr>
              <w:t>122,704</w:t>
            </w:r>
          </w:p>
        </w:tc>
      </w:tr>
      <w:tr w:rsidR="00C03B9C" w:rsidRPr="00E826C0" w:rsidTr="00350787">
        <w:trPr>
          <w:trHeight w:val="300"/>
          <w:jc w:val="center"/>
        </w:trPr>
        <w:tc>
          <w:tcPr>
            <w:tcW w:w="1360" w:type="dxa"/>
            <w:tcBorders>
              <w:top w:val="nil"/>
              <w:left w:val="single" w:sz="4" w:space="0" w:color="000080"/>
              <w:bottom w:val="single" w:sz="4" w:space="0" w:color="000080"/>
              <w:right w:val="single" w:sz="4" w:space="0" w:color="000080"/>
            </w:tcBorders>
            <w:shd w:val="clear" w:color="auto" w:fill="auto"/>
            <w:noWrap/>
            <w:vAlign w:val="center"/>
            <w:hideMark/>
          </w:tcPr>
          <w:p w:rsidR="00C03B9C" w:rsidRPr="00E826C0" w:rsidRDefault="00C03B9C" w:rsidP="00E826C0">
            <w:pPr>
              <w:spacing w:after="0" w:line="240" w:lineRule="auto"/>
              <w:ind w:firstLineChars="200" w:firstLine="320"/>
              <w:rPr>
                <w:rFonts w:ascii="Arial" w:eastAsia="Times New Roman" w:hAnsi="Arial" w:cs="Arial"/>
                <w:sz w:val="16"/>
                <w:szCs w:val="16"/>
                <w:lang w:eastAsia="hr-HR"/>
              </w:rPr>
            </w:pPr>
            <w:r w:rsidRPr="00E826C0">
              <w:rPr>
                <w:rFonts w:ascii="Arial" w:eastAsia="Times New Roman" w:hAnsi="Arial" w:cs="Arial"/>
                <w:sz w:val="16"/>
                <w:szCs w:val="16"/>
                <w:lang w:eastAsia="hr-HR"/>
              </w:rPr>
              <w:t>- ostali izvori</w:t>
            </w:r>
          </w:p>
        </w:tc>
        <w:tc>
          <w:tcPr>
            <w:tcW w:w="1340" w:type="dxa"/>
            <w:tcBorders>
              <w:top w:val="nil"/>
              <w:left w:val="nil"/>
              <w:bottom w:val="single" w:sz="4" w:space="0" w:color="000080"/>
              <w:right w:val="single" w:sz="4" w:space="0" w:color="000080"/>
            </w:tcBorders>
            <w:shd w:val="clear" w:color="auto" w:fill="auto"/>
            <w:noWrap/>
            <w:vAlign w:val="center"/>
            <w:hideMark/>
          </w:tcPr>
          <w:p w:rsidR="00C03B9C" w:rsidRPr="00E826C0" w:rsidRDefault="00C03B9C" w:rsidP="00C03B9C">
            <w:pPr>
              <w:spacing w:after="0" w:line="240" w:lineRule="auto"/>
              <w:jc w:val="right"/>
              <w:rPr>
                <w:rFonts w:ascii="Arial" w:eastAsia="Times New Roman" w:hAnsi="Arial" w:cs="Arial"/>
                <w:color w:val="000000"/>
                <w:sz w:val="16"/>
                <w:szCs w:val="16"/>
                <w:lang w:eastAsia="hr-HR"/>
              </w:rPr>
            </w:pPr>
            <w:r w:rsidRPr="00E826C0">
              <w:rPr>
                <w:rFonts w:ascii="Arial" w:eastAsia="Times New Roman" w:hAnsi="Arial" w:cs="Arial"/>
                <w:color w:val="000000"/>
                <w:sz w:val="16"/>
                <w:szCs w:val="16"/>
                <w:lang w:eastAsia="hr-HR"/>
              </w:rPr>
              <w:t>16,942</w:t>
            </w:r>
          </w:p>
        </w:tc>
        <w:tc>
          <w:tcPr>
            <w:tcW w:w="960" w:type="dxa"/>
            <w:tcBorders>
              <w:top w:val="nil"/>
              <w:left w:val="nil"/>
              <w:bottom w:val="single" w:sz="4" w:space="0" w:color="000080"/>
              <w:right w:val="single" w:sz="4" w:space="0" w:color="000080"/>
            </w:tcBorders>
            <w:shd w:val="clear" w:color="auto" w:fill="auto"/>
            <w:noWrap/>
            <w:vAlign w:val="center"/>
            <w:hideMark/>
          </w:tcPr>
          <w:p w:rsidR="00C03B9C" w:rsidRPr="00E826C0" w:rsidRDefault="00C03B9C" w:rsidP="00C03B9C">
            <w:pPr>
              <w:spacing w:after="0" w:line="240" w:lineRule="auto"/>
              <w:jc w:val="right"/>
              <w:rPr>
                <w:rFonts w:ascii="Arial" w:eastAsia="Times New Roman" w:hAnsi="Arial" w:cs="Arial"/>
                <w:color w:val="000000"/>
                <w:sz w:val="16"/>
                <w:szCs w:val="16"/>
                <w:lang w:eastAsia="hr-HR"/>
              </w:rPr>
            </w:pPr>
            <w:r w:rsidRPr="00E826C0">
              <w:rPr>
                <w:rFonts w:ascii="Arial" w:eastAsia="Times New Roman" w:hAnsi="Arial" w:cs="Arial"/>
                <w:color w:val="000000"/>
                <w:sz w:val="16"/>
                <w:szCs w:val="16"/>
                <w:lang w:eastAsia="hr-HR"/>
              </w:rPr>
              <w:t>2,446</w:t>
            </w:r>
          </w:p>
        </w:tc>
        <w:tc>
          <w:tcPr>
            <w:tcW w:w="960" w:type="dxa"/>
            <w:tcBorders>
              <w:top w:val="nil"/>
              <w:left w:val="nil"/>
              <w:bottom w:val="single" w:sz="4" w:space="0" w:color="000080"/>
              <w:right w:val="single" w:sz="4" w:space="0" w:color="000080"/>
            </w:tcBorders>
            <w:shd w:val="clear" w:color="auto" w:fill="auto"/>
            <w:noWrap/>
            <w:vAlign w:val="center"/>
            <w:hideMark/>
          </w:tcPr>
          <w:p w:rsidR="00C03B9C" w:rsidRPr="00E826C0" w:rsidRDefault="007D11E8" w:rsidP="00C03B9C">
            <w:pPr>
              <w:spacing w:after="0" w:line="240" w:lineRule="auto"/>
              <w:jc w:val="right"/>
              <w:rPr>
                <w:rFonts w:ascii="Arial" w:eastAsia="Times New Roman" w:hAnsi="Arial" w:cs="Arial"/>
                <w:color w:val="000000"/>
                <w:sz w:val="16"/>
                <w:szCs w:val="16"/>
                <w:lang w:eastAsia="hr-HR"/>
              </w:rPr>
            </w:pPr>
            <w:r w:rsidRPr="00E826C0">
              <w:rPr>
                <w:rFonts w:ascii="Arial" w:eastAsia="Times New Roman" w:hAnsi="Arial" w:cs="Arial"/>
                <w:color w:val="000000"/>
                <w:sz w:val="16"/>
                <w:szCs w:val="16"/>
                <w:lang w:eastAsia="hr-HR"/>
              </w:rPr>
              <w:t>0</w:t>
            </w:r>
            <w:r w:rsidR="00C03B9C" w:rsidRPr="00E826C0">
              <w:rPr>
                <w:rFonts w:ascii="Arial" w:eastAsia="Times New Roman" w:hAnsi="Arial" w:cs="Arial"/>
                <w:color w:val="000000"/>
                <w:sz w:val="16"/>
                <w:szCs w:val="16"/>
                <w:lang w:eastAsia="hr-HR"/>
              </w:rPr>
              <w:t>,635</w:t>
            </w:r>
          </w:p>
        </w:tc>
        <w:tc>
          <w:tcPr>
            <w:tcW w:w="960" w:type="dxa"/>
            <w:tcBorders>
              <w:top w:val="nil"/>
              <w:left w:val="nil"/>
              <w:bottom w:val="single" w:sz="4" w:space="0" w:color="000080"/>
              <w:right w:val="single" w:sz="4" w:space="0" w:color="000080"/>
            </w:tcBorders>
            <w:shd w:val="clear" w:color="auto" w:fill="auto"/>
            <w:noWrap/>
            <w:vAlign w:val="center"/>
            <w:hideMark/>
          </w:tcPr>
          <w:p w:rsidR="00C03B9C" w:rsidRPr="00E826C0" w:rsidRDefault="00C03B9C" w:rsidP="00C03B9C">
            <w:pPr>
              <w:spacing w:after="0" w:line="240" w:lineRule="auto"/>
              <w:jc w:val="right"/>
              <w:rPr>
                <w:rFonts w:ascii="Arial" w:eastAsia="Times New Roman" w:hAnsi="Arial" w:cs="Arial"/>
                <w:color w:val="000000"/>
                <w:sz w:val="16"/>
                <w:szCs w:val="16"/>
                <w:lang w:eastAsia="hr-HR"/>
              </w:rPr>
            </w:pPr>
            <w:r w:rsidRPr="00E826C0">
              <w:rPr>
                <w:rFonts w:ascii="Arial" w:eastAsia="Times New Roman" w:hAnsi="Arial" w:cs="Arial"/>
                <w:color w:val="000000"/>
                <w:sz w:val="16"/>
                <w:szCs w:val="16"/>
                <w:lang w:eastAsia="hr-HR"/>
              </w:rPr>
              <w:t>11,428</w:t>
            </w:r>
          </w:p>
        </w:tc>
        <w:tc>
          <w:tcPr>
            <w:tcW w:w="960" w:type="dxa"/>
            <w:tcBorders>
              <w:top w:val="nil"/>
              <w:left w:val="nil"/>
              <w:bottom w:val="single" w:sz="4" w:space="0" w:color="000080"/>
              <w:right w:val="single" w:sz="4" w:space="0" w:color="000080"/>
            </w:tcBorders>
            <w:shd w:val="clear" w:color="auto" w:fill="auto"/>
            <w:noWrap/>
            <w:vAlign w:val="center"/>
            <w:hideMark/>
          </w:tcPr>
          <w:p w:rsidR="00C03B9C" w:rsidRPr="00E826C0" w:rsidRDefault="007D11E8" w:rsidP="00C03B9C">
            <w:pPr>
              <w:spacing w:after="0" w:line="240" w:lineRule="auto"/>
              <w:jc w:val="right"/>
              <w:rPr>
                <w:rFonts w:ascii="Arial" w:eastAsia="Times New Roman" w:hAnsi="Arial" w:cs="Arial"/>
                <w:color w:val="000000"/>
                <w:sz w:val="16"/>
                <w:szCs w:val="16"/>
                <w:lang w:eastAsia="hr-HR"/>
              </w:rPr>
            </w:pPr>
            <w:r w:rsidRPr="00E826C0">
              <w:rPr>
                <w:rFonts w:ascii="Arial" w:eastAsia="Times New Roman" w:hAnsi="Arial" w:cs="Arial"/>
                <w:color w:val="000000"/>
                <w:sz w:val="16"/>
                <w:szCs w:val="16"/>
                <w:lang w:eastAsia="hr-HR"/>
              </w:rPr>
              <w:t>0</w:t>
            </w:r>
            <w:r w:rsidR="00C03B9C" w:rsidRPr="00E826C0">
              <w:rPr>
                <w:rFonts w:ascii="Arial" w:eastAsia="Times New Roman" w:hAnsi="Arial" w:cs="Arial"/>
                <w:color w:val="000000"/>
                <w:sz w:val="16"/>
                <w:szCs w:val="16"/>
                <w:lang w:eastAsia="hr-HR"/>
              </w:rPr>
              <w:t>,071</w:t>
            </w:r>
          </w:p>
        </w:tc>
        <w:tc>
          <w:tcPr>
            <w:tcW w:w="960" w:type="dxa"/>
            <w:tcBorders>
              <w:top w:val="nil"/>
              <w:left w:val="nil"/>
              <w:bottom w:val="single" w:sz="4" w:space="0" w:color="000080"/>
              <w:right w:val="single" w:sz="4" w:space="0" w:color="000080"/>
            </w:tcBorders>
            <w:shd w:val="clear" w:color="auto" w:fill="auto"/>
            <w:noWrap/>
            <w:vAlign w:val="center"/>
            <w:hideMark/>
          </w:tcPr>
          <w:p w:rsidR="00C03B9C" w:rsidRPr="00E826C0" w:rsidRDefault="00C03B9C" w:rsidP="00C03B9C">
            <w:pPr>
              <w:spacing w:after="0" w:line="240" w:lineRule="auto"/>
              <w:jc w:val="right"/>
              <w:rPr>
                <w:rFonts w:ascii="Arial" w:eastAsia="Times New Roman" w:hAnsi="Arial" w:cs="Arial"/>
                <w:color w:val="000000"/>
                <w:sz w:val="16"/>
                <w:szCs w:val="16"/>
                <w:lang w:eastAsia="hr-HR"/>
              </w:rPr>
            </w:pPr>
            <w:r w:rsidRPr="00E826C0">
              <w:rPr>
                <w:rFonts w:ascii="Arial" w:eastAsia="Times New Roman" w:hAnsi="Arial" w:cs="Arial"/>
                <w:color w:val="000000"/>
                <w:sz w:val="16"/>
                <w:szCs w:val="16"/>
                <w:lang w:eastAsia="hr-HR"/>
              </w:rPr>
              <w:t>2,361</w:t>
            </w:r>
          </w:p>
        </w:tc>
      </w:tr>
    </w:tbl>
    <w:p w:rsidR="00C03B9C" w:rsidRPr="00FA7F54" w:rsidRDefault="00C03B9C" w:rsidP="00C83540">
      <w:pPr>
        <w:spacing w:line="240" w:lineRule="auto"/>
        <w:rPr>
          <w:rFonts w:ascii="Times New Roman" w:hAnsi="Times New Roman" w:cs="Times New Roman"/>
        </w:rPr>
      </w:pPr>
    </w:p>
    <w:p w:rsidR="00805CF6" w:rsidRPr="008F093E" w:rsidRDefault="00805CF6" w:rsidP="00805CF6">
      <w:pPr>
        <w:shd w:val="clear" w:color="auto" w:fill="FFFFFF"/>
        <w:spacing w:after="0" w:line="240" w:lineRule="auto"/>
        <w:ind w:firstLine="360"/>
        <w:jc w:val="both"/>
        <w:rPr>
          <w:rFonts w:ascii="Times New Roman" w:hAnsi="Times New Roman" w:cs="Times New Roman"/>
          <w:u w:val="single"/>
        </w:rPr>
      </w:pPr>
      <w:r w:rsidRPr="008F093E">
        <w:rPr>
          <w:rFonts w:ascii="Times New Roman" w:hAnsi="Times New Roman" w:cs="Times New Roman"/>
          <w:u w:val="single"/>
        </w:rPr>
        <w:t>Mjere za smanjenje odnosno optimizaciju rashoda:</w:t>
      </w:r>
    </w:p>
    <w:p w:rsidR="00292F0B" w:rsidRPr="008F093E" w:rsidRDefault="00292F0B" w:rsidP="00922D60">
      <w:pPr>
        <w:pStyle w:val="Odlomakpopisa"/>
        <w:numPr>
          <w:ilvl w:val="0"/>
          <w:numId w:val="9"/>
        </w:numPr>
        <w:shd w:val="clear" w:color="auto" w:fill="FFFFFF"/>
        <w:spacing w:after="0" w:line="240" w:lineRule="auto"/>
        <w:jc w:val="both"/>
        <w:rPr>
          <w:rFonts w:ascii="Times New Roman" w:hAnsi="Times New Roman" w:cs="Times New Roman"/>
        </w:rPr>
      </w:pPr>
      <w:r w:rsidRPr="008F093E">
        <w:rPr>
          <w:rFonts w:ascii="Times New Roman" w:hAnsi="Times New Roman" w:cs="Times New Roman"/>
        </w:rPr>
        <w:t xml:space="preserve">Optimizacija/standardizacija proizvoda i usluga i ostvarivanja ušteda u javnoj potrošnji  kroz učinkoviti sustav središnje javne nabave </w:t>
      </w:r>
    </w:p>
    <w:p w:rsidR="00C21873" w:rsidRPr="008F093E" w:rsidRDefault="00C21873" w:rsidP="00292F0B">
      <w:pPr>
        <w:shd w:val="clear" w:color="auto" w:fill="FFFFFF"/>
        <w:spacing w:after="0" w:line="240" w:lineRule="auto"/>
        <w:jc w:val="both"/>
        <w:rPr>
          <w:rFonts w:ascii="Times New Roman" w:hAnsi="Times New Roman" w:cs="Times New Roman"/>
        </w:rPr>
      </w:pPr>
      <w:r w:rsidRPr="008F093E">
        <w:rPr>
          <w:rFonts w:ascii="Times New Roman" w:hAnsi="Times New Roman" w:cs="Times New Roman"/>
        </w:rPr>
        <w:t xml:space="preserve">Sukladno Uredbi o unutarnjem ustrojstvu Državnog ureda </w:t>
      </w:r>
      <w:r w:rsidR="00350787">
        <w:rPr>
          <w:rFonts w:ascii="Times New Roman" w:hAnsi="Times New Roman" w:cs="Times New Roman"/>
        </w:rPr>
        <w:t xml:space="preserve">za središnju javnu nabavu, </w:t>
      </w:r>
      <w:r w:rsidRPr="008F093E">
        <w:rPr>
          <w:rFonts w:ascii="Times New Roman" w:hAnsi="Times New Roman" w:cs="Times New Roman"/>
        </w:rPr>
        <w:t xml:space="preserve">obveznici središnje javne nabave su u pravilu 34 tijela državne uprave za 17 nabavnih kategorija. Vlada je 2014. i 2015. godine ovlastila Državni ured za provedbu postupaka središnje javne nabave i za oko 520 dodatnih korisnika u nabavnim kategorijama gorivo, opskrba električnom energijom, </w:t>
      </w:r>
      <w:r w:rsidRPr="008F093E">
        <w:rPr>
          <w:rFonts w:ascii="Times New Roman" w:hAnsi="Times New Roman" w:cs="Times New Roman"/>
          <w:b/>
        </w:rPr>
        <w:t>mobilna telefonija, fiksna telefonija i poštanske usluge</w:t>
      </w:r>
      <w:r w:rsidRPr="008F093E">
        <w:rPr>
          <w:rFonts w:ascii="Times New Roman" w:hAnsi="Times New Roman" w:cs="Times New Roman"/>
        </w:rPr>
        <w:t>. Zbog smanjenja broja pravosudnih tijela, revidiran je broj dodatnih korisnika te zajedno s obveznicima središnje javne nabave ukupno obuhvaća 561 korisnika središnje javne nabave.</w:t>
      </w:r>
    </w:p>
    <w:p w:rsidR="00B70278" w:rsidRDefault="00B70278" w:rsidP="00474687">
      <w:pPr>
        <w:shd w:val="clear" w:color="auto" w:fill="FFFFFF"/>
        <w:spacing w:after="0" w:line="240" w:lineRule="auto"/>
        <w:ind w:firstLine="708"/>
        <w:jc w:val="both"/>
        <w:rPr>
          <w:rFonts w:ascii="Times New Roman" w:eastAsia="Times New Roman" w:hAnsi="Times New Roman" w:cs="Times New Roman"/>
          <w:b/>
          <w:color w:val="000000"/>
          <w:lang w:eastAsia="hr-HR"/>
        </w:rPr>
      </w:pPr>
    </w:p>
    <w:p w:rsidR="00B70278" w:rsidRPr="009771C7" w:rsidRDefault="00B70278" w:rsidP="009771C7">
      <w:pPr>
        <w:pStyle w:val="Odlomakpopisa"/>
        <w:numPr>
          <w:ilvl w:val="0"/>
          <w:numId w:val="9"/>
        </w:numPr>
        <w:shd w:val="clear" w:color="auto" w:fill="FFFFFF"/>
        <w:spacing w:after="0" w:line="240" w:lineRule="auto"/>
        <w:jc w:val="both"/>
        <w:rPr>
          <w:rFonts w:ascii="Times New Roman" w:hAnsi="Times New Roman" w:cs="Times New Roman"/>
        </w:rPr>
      </w:pPr>
      <w:r w:rsidRPr="009771C7">
        <w:rPr>
          <w:rFonts w:ascii="Times New Roman" w:hAnsi="Times New Roman" w:cs="Times New Roman"/>
        </w:rPr>
        <w:t>Troško</w:t>
      </w:r>
      <w:r w:rsidR="009771C7">
        <w:rPr>
          <w:rFonts w:ascii="Times New Roman" w:hAnsi="Times New Roman" w:cs="Times New Roman"/>
        </w:rPr>
        <w:t>vi za fiksnu telefoniju (govorne</w:t>
      </w:r>
      <w:r w:rsidRPr="009771C7">
        <w:rPr>
          <w:rFonts w:ascii="Times New Roman" w:hAnsi="Times New Roman" w:cs="Times New Roman"/>
        </w:rPr>
        <w:t xml:space="preserve"> usluge) </w:t>
      </w:r>
    </w:p>
    <w:p w:rsidR="00B70278" w:rsidRPr="009771C7" w:rsidRDefault="00B70278" w:rsidP="007875C3">
      <w:pPr>
        <w:shd w:val="clear" w:color="auto" w:fill="FFFFFF"/>
        <w:spacing w:after="0" w:line="240" w:lineRule="auto"/>
        <w:jc w:val="both"/>
        <w:rPr>
          <w:rFonts w:ascii="Times New Roman" w:hAnsi="Times New Roman" w:cs="Times New Roman"/>
        </w:rPr>
      </w:pPr>
      <w:r w:rsidRPr="009771C7">
        <w:rPr>
          <w:rFonts w:ascii="Times New Roman" w:hAnsi="Times New Roman" w:cs="Times New Roman"/>
        </w:rPr>
        <w:t>Nepromjenjivi dio mjesečnog računa čine mjesečne naknade, priključne pristojbe, naknade za količinu prolaznih brojeva, govornih kanala, naknade za opremu u najmu i ostale dodatne usluge koje se mogu ugovoriti. Na ovoj razini mogu se postići uštede optimiziranjem kapaciteta i promjenom tehnologije, te eventualno uzimanjem u najam komunikacijske i terminalne opreme. Preduvjet optimizacije je detaljna analiza stanja pojedinog tijela korisnika. Promjenjivi dio mjesečnog računa čine prometne veličine, najčešće su to količine poziva prema obračunskoj jedinici i odredištu. Ovaj dio računa moguće je optimizirati programiranjem ekonomičnih ruta na telefonskim centrala, ograničenjem skupih odredišnih brojeva i kontrolom ispisa poziva.</w:t>
      </w:r>
    </w:p>
    <w:p w:rsidR="00B70278" w:rsidRPr="009771C7" w:rsidRDefault="00B70278" w:rsidP="007875C3">
      <w:pPr>
        <w:spacing w:line="240" w:lineRule="auto"/>
        <w:jc w:val="both"/>
        <w:rPr>
          <w:rFonts w:ascii="Times New Roman" w:eastAsia="Times New Roman" w:hAnsi="Times New Roman" w:cs="Times New Roman"/>
          <w:color w:val="000000"/>
        </w:rPr>
      </w:pPr>
      <w:r w:rsidRPr="009771C7">
        <w:rPr>
          <w:rFonts w:ascii="Times New Roman" w:hAnsi="Times New Roman" w:cs="Times New Roman"/>
        </w:rPr>
        <w:lastRenderedPageBreak/>
        <w:t xml:space="preserve">U pripremi postupka središnje javne nabave za fiksnu telefoniju (govorne usluge), za 34 obveznika + 520 novih korisnika, procijenjena vrijednost na temelju iskazanih podataka na godišnjoj razini iznosit će </w:t>
      </w:r>
      <w:proofErr w:type="spellStart"/>
      <w:r w:rsidRPr="009771C7">
        <w:rPr>
          <w:rFonts w:ascii="Times New Roman" w:hAnsi="Times New Roman" w:cs="Times New Roman"/>
        </w:rPr>
        <w:t>cca</w:t>
      </w:r>
      <w:proofErr w:type="spellEnd"/>
      <w:r w:rsidRPr="009771C7">
        <w:rPr>
          <w:rFonts w:ascii="Times New Roman" w:hAnsi="Times New Roman" w:cs="Times New Roman"/>
        </w:rPr>
        <w:t xml:space="preserve"> 120 mil</w:t>
      </w:r>
      <w:r w:rsidR="00D34A34">
        <w:rPr>
          <w:rFonts w:ascii="Times New Roman" w:hAnsi="Times New Roman" w:cs="Times New Roman"/>
        </w:rPr>
        <w:t>.</w:t>
      </w:r>
      <w:r w:rsidRPr="009771C7">
        <w:rPr>
          <w:rFonts w:ascii="Times New Roman" w:hAnsi="Times New Roman" w:cs="Times New Roman"/>
        </w:rPr>
        <w:t xml:space="preserve"> kuna, s očekivanom uštedom od </w:t>
      </w:r>
      <w:proofErr w:type="spellStart"/>
      <w:r w:rsidRPr="009771C7">
        <w:rPr>
          <w:rFonts w:ascii="Times New Roman" w:hAnsi="Times New Roman" w:cs="Times New Roman"/>
        </w:rPr>
        <w:t>cca</w:t>
      </w:r>
      <w:proofErr w:type="spellEnd"/>
      <w:r w:rsidRPr="009771C7">
        <w:rPr>
          <w:rFonts w:ascii="Times New Roman" w:hAnsi="Times New Roman" w:cs="Times New Roman"/>
        </w:rPr>
        <w:t xml:space="preserve"> 35-40%.  Na temelju uzorka 7 tijela izvršne vlasti, utvrđen je „ciljani“ mjesečni trošak po zaposleniku.</w:t>
      </w:r>
      <w:r w:rsidRPr="009771C7">
        <w:rPr>
          <w:rFonts w:ascii="Times New Roman" w:eastAsia="Times New Roman" w:hAnsi="Times New Roman" w:cs="Times New Roman"/>
          <w:color w:val="000000"/>
        </w:rPr>
        <w:t xml:space="preserve"> Prosječna vrijednost mjesečne potrošnje po zaposleniku promatranog uzorka je </w:t>
      </w:r>
      <w:r w:rsidRPr="009771C7">
        <w:rPr>
          <w:rFonts w:ascii="Times New Roman" w:eastAsia="Times New Roman" w:hAnsi="Times New Roman" w:cs="Times New Roman"/>
          <w:b/>
          <w:color w:val="000000"/>
        </w:rPr>
        <w:t xml:space="preserve">102 </w:t>
      </w:r>
      <w:r w:rsidR="00D34A34" w:rsidRPr="009771C7">
        <w:rPr>
          <w:rFonts w:ascii="Times New Roman" w:eastAsia="Times New Roman" w:hAnsi="Times New Roman" w:cs="Times New Roman"/>
          <w:b/>
          <w:color w:val="000000"/>
        </w:rPr>
        <w:t>k</w:t>
      </w:r>
      <w:r w:rsidR="00D34A34">
        <w:rPr>
          <w:rFonts w:ascii="Times New Roman" w:eastAsia="Times New Roman" w:hAnsi="Times New Roman" w:cs="Times New Roman"/>
          <w:b/>
          <w:color w:val="000000"/>
        </w:rPr>
        <w:t>une</w:t>
      </w:r>
      <w:r w:rsidR="00D34A34" w:rsidRPr="009771C7">
        <w:rPr>
          <w:rFonts w:ascii="Times New Roman" w:eastAsia="Times New Roman" w:hAnsi="Times New Roman" w:cs="Times New Roman"/>
          <w:b/>
          <w:color w:val="000000"/>
        </w:rPr>
        <w:t xml:space="preserve"> </w:t>
      </w:r>
      <w:r w:rsidRPr="009771C7">
        <w:rPr>
          <w:rFonts w:ascii="Times New Roman" w:eastAsia="Times New Roman" w:hAnsi="Times New Roman" w:cs="Times New Roman"/>
          <w:b/>
          <w:color w:val="000000"/>
        </w:rPr>
        <w:t>bez PDV-a po zaposleniku</w:t>
      </w:r>
      <w:r w:rsidRPr="009771C7">
        <w:rPr>
          <w:rFonts w:ascii="Times New Roman" w:eastAsia="Times New Roman" w:hAnsi="Times New Roman" w:cs="Times New Roman"/>
          <w:color w:val="000000"/>
        </w:rPr>
        <w:t>, dok se vrijednost kreće u raspo</w:t>
      </w:r>
      <w:r w:rsidR="00143687">
        <w:rPr>
          <w:rFonts w:ascii="Times New Roman" w:eastAsia="Times New Roman" w:hAnsi="Times New Roman" w:cs="Times New Roman"/>
          <w:color w:val="000000"/>
        </w:rPr>
        <w:t xml:space="preserve">nu od 48 </w:t>
      </w:r>
      <w:r w:rsidRPr="009771C7">
        <w:rPr>
          <w:rFonts w:ascii="Times New Roman" w:eastAsia="Times New Roman" w:hAnsi="Times New Roman" w:cs="Times New Roman"/>
          <w:color w:val="000000"/>
        </w:rPr>
        <w:t>do 174 k</w:t>
      </w:r>
      <w:r w:rsidR="00D34A34">
        <w:rPr>
          <w:rFonts w:ascii="Times New Roman" w:eastAsia="Times New Roman" w:hAnsi="Times New Roman" w:cs="Times New Roman"/>
          <w:color w:val="000000"/>
        </w:rPr>
        <w:t>une</w:t>
      </w:r>
      <w:r w:rsidRPr="009771C7">
        <w:rPr>
          <w:rFonts w:ascii="Times New Roman" w:eastAsia="Times New Roman" w:hAnsi="Times New Roman" w:cs="Times New Roman"/>
          <w:color w:val="000000"/>
        </w:rPr>
        <w:t xml:space="preserve"> bez PDV-a po zaposleniku. </w:t>
      </w:r>
    </w:p>
    <w:p w:rsidR="00B70278" w:rsidRPr="007875C3" w:rsidRDefault="00B70278" w:rsidP="007875C3">
      <w:pPr>
        <w:pStyle w:val="Odlomakpopisa"/>
        <w:numPr>
          <w:ilvl w:val="0"/>
          <w:numId w:val="9"/>
        </w:numPr>
        <w:spacing w:after="0" w:line="240" w:lineRule="auto"/>
        <w:jc w:val="both"/>
        <w:rPr>
          <w:rFonts w:ascii="Times New Roman" w:hAnsi="Times New Roman" w:cs="Times New Roman"/>
        </w:rPr>
      </w:pPr>
      <w:r w:rsidRPr="007875C3">
        <w:rPr>
          <w:rFonts w:ascii="Times New Roman" w:hAnsi="Times New Roman" w:cs="Times New Roman"/>
        </w:rPr>
        <w:t xml:space="preserve">Troškovi za mobilnu telefoniju (govorne i podatkovne usluge) </w:t>
      </w:r>
    </w:p>
    <w:p w:rsidR="00B70278" w:rsidRPr="00353753" w:rsidRDefault="00B70278" w:rsidP="00F56DFA">
      <w:pPr>
        <w:spacing w:after="0" w:line="240" w:lineRule="auto"/>
        <w:jc w:val="both"/>
        <w:rPr>
          <w:rFonts w:ascii="Times New Roman" w:hAnsi="Times New Roman" w:cs="Times New Roman"/>
        </w:rPr>
      </w:pPr>
      <w:r w:rsidRPr="00353753">
        <w:rPr>
          <w:rFonts w:ascii="Times New Roman" w:hAnsi="Times New Roman" w:cs="Times New Roman"/>
        </w:rPr>
        <w:t>Postupak za nabavu usluge mobilne telefonije za 34 obveznika središnje javne nabave DUSJN je pr</w:t>
      </w:r>
      <w:r w:rsidR="00455877">
        <w:rPr>
          <w:rFonts w:ascii="Times New Roman" w:hAnsi="Times New Roman" w:cs="Times New Roman"/>
        </w:rPr>
        <w:t>oveo 2011. i 2013. godine te su</w:t>
      </w:r>
      <w:r w:rsidRPr="00353753">
        <w:rPr>
          <w:rFonts w:ascii="Times New Roman" w:hAnsi="Times New Roman" w:cs="Times New Roman"/>
        </w:rPr>
        <w:t xml:space="preserve"> sklopljeni okvirn</w:t>
      </w:r>
      <w:r w:rsidR="00314DB2">
        <w:rPr>
          <w:rFonts w:ascii="Times New Roman" w:hAnsi="Times New Roman" w:cs="Times New Roman"/>
        </w:rPr>
        <w:t xml:space="preserve">i sporazumi </w:t>
      </w:r>
      <w:r w:rsidRPr="00353753">
        <w:rPr>
          <w:rFonts w:ascii="Times New Roman" w:hAnsi="Times New Roman" w:cs="Times New Roman"/>
        </w:rPr>
        <w:t xml:space="preserve"> na dvogodišnje razdoblje. </w:t>
      </w:r>
      <w:r w:rsidR="00353753">
        <w:rPr>
          <w:rFonts w:ascii="Times New Roman" w:hAnsi="Times New Roman" w:cs="Times New Roman"/>
        </w:rPr>
        <w:t xml:space="preserve"> </w:t>
      </w:r>
      <w:r w:rsidRPr="00353753">
        <w:rPr>
          <w:rFonts w:ascii="Times New Roman" w:hAnsi="Times New Roman" w:cs="Times New Roman"/>
        </w:rPr>
        <w:t xml:space="preserve">Iz analize dosadašnjih postupaka ostvareni su sljedeći učinci: </w:t>
      </w:r>
    </w:p>
    <w:p w:rsidR="00B70278" w:rsidRPr="00353753" w:rsidRDefault="00B70278" w:rsidP="00F56DFA">
      <w:pPr>
        <w:pStyle w:val="Odlomakpopisa"/>
        <w:numPr>
          <w:ilvl w:val="0"/>
          <w:numId w:val="31"/>
        </w:numPr>
        <w:spacing w:after="0" w:line="240" w:lineRule="auto"/>
        <w:jc w:val="both"/>
        <w:rPr>
          <w:rFonts w:ascii="Times New Roman" w:hAnsi="Times New Roman" w:cs="Times New Roman"/>
        </w:rPr>
      </w:pPr>
      <w:r w:rsidRPr="00353753">
        <w:rPr>
          <w:rFonts w:ascii="Times New Roman" w:hAnsi="Times New Roman" w:cs="Times New Roman"/>
        </w:rPr>
        <w:t>2011</w:t>
      </w:r>
      <w:r w:rsidR="00107E83">
        <w:rPr>
          <w:rFonts w:ascii="Times New Roman" w:hAnsi="Times New Roman" w:cs="Times New Roman"/>
        </w:rPr>
        <w:t>.</w:t>
      </w:r>
      <w:r w:rsidRPr="00353753">
        <w:rPr>
          <w:rFonts w:ascii="Times New Roman" w:hAnsi="Times New Roman" w:cs="Times New Roman"/>
        </w:rPr>
        <w:t xml:space="preserve"> godine, prije pokretanja središnje javne nabave, prosječna mjesečna potrošnja po pretplatničkom broju iznosila je </w:t>
      </w:r>
      <w:proofErr w:type="spellStart"/>
      <w:r w:rsidRPr="00353753">
        <w:rPr>
          <w:rFonts w:ascii="Times New Roman" w:hAnsi="Times New Roman" w:cs="Times New Roman"/>
        </w:rPr>
        <w:t>cca</w:t>
      </w:r>
      <w:proofErr w:type="spellEnd"/>
      <w:r w:rsidRPr="00353753">
        <w:rPr>
          <w:rFonts w:ascii="Times New Roman" w:hAnsi="Times New Roman" w:cs="Times New Roman"/>
        </w:rPr>
        <w:t xml:space="preserve"> 300 k</w:t>
      </w:r>
      <w:r w:rsidR="00D34A34">
        <w:rPr>
          <w:rFonts w:ascii="Times New Roman" w:hAnsi="Times New Roman" w:cs="Times New Roman"/>
        </w:rPr>
        <w:t>una</w:t>
      </w:r>
      <w:r w:rsidRPr="00353753">
        <w:rPr>
          <w:rFonts w:ascii="Times New Roman" w:hAnsi="Times New Roman" w:cs="Times New Roman"/>
        </w:rPr>
        <w:t xml:space="preserve"> bez PDV-a</w:t>
      </w:r>
    </w:p>
    <w:p w:rsidR="00B70278" w:rsidRPr="00353753" w:rsidRDefault="00B70278" w:rsidP="007875C3">
      <w:pPr>
        <w:pStyle w:val="Odlomakpopisa"/>
        <w:numPr>
          <w:ilvl w:val="0"/>
          <w:numId w:val="31"/>
        </w:numPr>
        <w:spacing w:line="240" w:lineRule="auto"/>
        <w:jc w:val="both"/>
        <w:rPr>
          <w:rFonts w:ascii="Times New Roman" w:hAnsi="Times New Roman" w:cs="Times New Roman"/>
        </w:rPr>
      </w:pPr>
      <w:r w:rsidRPr="00353753">
        <w:rPr>
          <w:rFonts w:ascii="Times New Roman" w:hAnsi="Times New Roman" w:cs="Times New Roman"/>
        </w:rPr>
        <w:t>Tijekom ugovornog razdoblja 2011</w:t>
      </w:r>
      <w:r w:rsidR="00D34A34">
        <w:rPr>
          <w:rFonts w:ascii="Times New Roman" w:hAnsi="Times New Roman" w:cs="Times New Roman"/>
        </w:rPr>
        <w:t xml:space="preserve">. </w:t>
      </w:r>
      <w:r w:rsidRPr="00353753">
        <w:rPr>
          <w:rFonts w:ascii="Times New Roman" w:hAnsi="Times New Roman" w:cs="Times New Roman"/>
        </w:rPr>
        <w:t>-</w:t>
      </w:r>
      <w:r w:rsidR="00D34A34">
        <w:rPr>
          <w:rFonts w:ascii="Times New Roman" w:hAnsi="Times New Roman" w:cs="Times New Roman"/>
        </w:rPr>
        <w:t>.</w:t>
      </w:r>
      <w:r w:rsidRPr="00353753">
        <w:rPr>
          <w:rFonts w:ascii="Times New Roman" w:hAnsi="Times New Roman" w:cs="Times New Roman"/>
        </w:rPr>
        <w:t>2013</w:t>
      </w:r>
      <w:r w:rsidR="00D34A34">
        <w:rPr>
          <w:rFonts w:ascii="Times New Roman" w:hAnsi="Times New Roman" w:cs="Times New Roman"/>
        </w:rPr>
        <w:t>.</w:t>
      </w:r>
      <w:r w:rsidRPr="00353753">
        <w:rPr>
          <w:rFonts w:ascii="Times New Roman" w:hAnsi="Times New Roman" w:cs="Times New Roman"/>
        </w:rPr>
        <w:t xml:space="preserve"> godine, prosječna mjesečna potrošnja se smanjila na 75 k</w:t>
      </w:r>
      <w:r w:rsidR="00D34A34">
        <w:rPr>
          <w:rFonts w:ascii="Times New Roman" w:hAnsi="Times New Roman" w:cs="Times New Roman"/>
        </w:rPr>
        <w:t>una</w:t>
      </w:r>
      <w:r w:rsidRPr="00353753">
        <w:rPr>
          <w:rFonts w:ascii="Times New Roman" w:hAnsi="Times New Roman" w:cs="Times New Roman"/>
        </w:rPr>
        <w:t xml:space="preserve"> bez PDV-a po pretplatničkom broju, uključujući cijenu uređaja </w:t>
      </w:r>
    </w:p>
    <w:p w:rsidR="00B70278" w:rsidRPr="00353753" w:rsidRDefault="00B70278" w:rsidP="007875C3">
      <w:pPr>
        <w:pStyle w:val="Odlomakpopisa"/>
        <w:numPr>
          <w:ilvl w:val="0"/>
          <w:numId w:val="31"/>
        </w:numPr>
        <w:spacing w:line="240" w:lineRule="auto"/>
        <w:jc w:val="both"/>
        <w:rPr>
          <w:rFonts w:ascii="Times New Roman" w:hAnsi="Times New Roman" w:cs="Times New Roman"/>
        </w:rPr>
      </w:pPr>
      <w:r w:rsidRPr="00353753">
        <w:rPr>
          <w:rFonts w:ascii="Times New Roman" w:hAnsi="Times New Roman" w:cs="Times New Roman"/>
        </w:rPr>
        <w:t>Tijekom ugovornog razdoblja 2013</w:t>
      </w:r>
      <w:r w:rsidR="00D34A34">
        <w:rPr>
          <w:rFonts w:ascii="Times New Roman" w:hAnsi="Times New Roman" w:cs="Times New Roman"/>
        </w:rPr>
        <w:t xml:space="preserve">. – </w:t>
      </w:r>
      <w:r w:rsidRPr="00353753">
        <w:rPr>
          <w:rFonts w:ascii="Times New Roman" w:hAnsi="Times New Roman" w:cs="Times New Roman"/>
        </w:rPr>
        <w:t>2015</w:t>
      </w:r>
      <w:r w:rsidR="00D34A34">
        <w:rPr>
          <w:rFonts w:ascii="Times New Roman" w:hAnsi="Times New Roman" w:cs="Times New Roman"/>
        </w:rPr>
        <w:t>.</w:t>
      </w:r>
      <w:r w:rsidRPr="00353753">
        <w:rPr>
          <w:rFonts w:ascii="Times New Roman" w:hAnsi="Times New Roman" w:cs="Times New Roman"/>
        </w:rPr>
        <w:t xml:space="preserve"> godine, prosječna mjesečna potrošnja se smanjila na 55 k</w:t>
      </w:r>
      <w:r w:rsidR="00D34A34">
        <w:rPr>
          <w:rFonts w:ascii="Times New Roman" w:hAnsi="Times New Roman" w:cs="Times New Roman"/>
        </w:rPr>
        <w:t>una</w:t>
      </w:r>
      <w:r w:rsidRPr="00353753">
        <w:rPr>
          <w:rFonts w:ascii="Times New Roman" w:hAnsi="Times New Roman" w:cs="Times New Roman"/>
        </w:rPr>
        <w:t xml:space="preserve"> bez PDV-a po pretplatničkom broju, uključujući cijenu uređaja.</w:t>
      </w:r>
    </w:p>
    <w:p w:rsidR="00B70278" w:rsidRPr="00353753" w:rsidRDefault="00B70278" w:rsidP="007875C3">
      <w:pPr>
        <w:spacing w:line="240" w:lineRule="auto"/>
        <w:jc w:val="both"/>
        <w:rPr>
          <w:rFonts w:ascii="Times New Roman" w:hAnsi="Times New Roman" w:cs="Times New Roman"/>
        </w:rPr>
      </w:pPr>
      <w:r w:rsidRPr="00353753">
        <w:rPr>
          <w:rFonts w:ascii="Times New Roman" w:hAnsi="Times New Roman" w:cs="Times New Roman"/>
        </w:rPr>
        <w:t>Slijedom ostvarenih učinaka, u sklopu Nacionalnog programa re</w:t>
      </w:r>
      <w:r w:rsidR="007875C3">
        <w:rPr>
          <w:rFonts w:ascii="Times New Roman" w:hAnsi="Times New Roman" w:cs="Times New Roman"/>
        </w:rPr>
        <w:t xml:space="preserve">formi, donesena je Odluka </w:t>
      </w:r>
      <w:r w:rsidR="00D34A34">
        <w:rPr>
          <w:rFonts w:ascii="Times New Roman" w:hAnsi="Times New Roman" w:cs="Times New Roman"/>
        </w:rPr>
        <w:t xml:space="preserve">Vlade </w:t>
      </w:r>
      <w:r w:rsidR="007875C3">
        <w:rPr>
          <w:rFonts w:ascii="Times New Roman" w:hAnsi="Times New Roman" w:cs="Times New Roman"/>
        </w:rPr>
        <w:t>o</w:t>
      </w:r>
      <w:r w:rsidRPr="00353753">
        <w:rPr>
          <w:rFonts w:ascii="Times New Roman" w:hAnsi="Times New Roman" w:cs="Times New Roman"/>
        </w:rPr>
        <w:t xml:space="preserve"> davanju ovlasti DUSJN za provedbu javne nabave za dodatnih 520 javnih naručitelja (sudovi, agencije, uredi državne uprave, fakulteti, sveučilišta,  muzeji, itd.) za 5 kategorija među kojima je i mobilna telefonija u cilju smanjenja troškova i optimizacije postupaka javne nabave. </w:t>
      </w:r>
    </w:p>
    <w:p w:rsidR="00B70278" w:rsidRPr="00353753" w:rsidRDefault="00B70278" w:rsidP="007875C3">
      <w:pPr>
        <w:spacing w:line="240" w:lineRule="auto"/>
        <w:jc w:val="both"/>
        <w:rPr>
          <w:rFonts w:ascii="Times New Roman" w:hAnsi="Times New Roman" w:cs="Times New Roman"/>
        </w:rPr>
      </w:pPr>
      <w:r w:rsidRPr="00353753">
        <w:rPr>
          <w:rFonts w:ascii="Times New Roman" w:hAnsi="Times New Roman" w:cs="Times New Roman"/>
        </w:rPr>
        <w:t>Prilikom prikupljanja potreba za postupak javne nabave početkom 2015. godine korisnici su Državnom uredu</w:t>
      </w:r>
      <w:r w:rsidR="00107E83">
        <w:rPr>
          <w:rFonts w:ascii="Times New Roman" w:hAnsi="Times New Roman" w:cs="Times New Roman"/>
        </w:rPr>
        <w:t xml:space="preserve"> za središnju javnu nabavu</w:t>
      </w:r>
      <w:r w:rsidRPr="00353753">
        <w:rPr>
          <w:rFonts w:ascii="Times New Roman" w:hAnsi="Times New Roman" w:cs="Times New Roman"/>
        </w:rPr>
        <w:t xml:space="preserve"> iskazali potrebe za iznimno velikim brojem mobilnih uređaja za postojeće pretplatničke brojeve za koje korisnici službenih mobilnih uređaja već posjeduju uređaje (iskazana potreba za novim uređajima za postojeće pretplatničke brojeve premašivala je broj pretplatničkih brojeva) te potrebe za velikim brojem novih pretplatničkih brojeva, a što prate i potrebe za novim uređajima. Odlukom </w:t>
      </w:r>
      <w:r w:rsidR="00D34A34">
        <w:rPr>
          <w:rFonts w:ascii="Times New Roman" w:hAnsi="Times New Roman" w:cs="Times New Roman"/>
        </w:rPr>
        <w:t>Vlade</w:t>
      </w:r>
      <w:r w:rsidR="00D34A34" w:rsidRPr="00353753">
        <w:rPr>
          <w:rFonts w:ascii="Times New Roman" w:hAnsi="Times New Roman" w:cs="Times New Roman"/>
        </w:rPr>
        <w:t xml:space="preserve"> </w:t>
      </w:r>
      <w:r w:rsidRPr="00353753">
        <w:rPr>
          <w:rFonts w:ascii="Times New Roman" w:hAnsi="Times New Roman" w:cs="Times New Roman"/>
        </w:rPr>
        <w:t xml:space="preserve">o racionalizaciji nabava uređaja je ograničena na </w:t>
      </w:r>
      <w:proofErr w:type="spellStart"/>
      <w:r w:rsidRPr="00353753">
        <w:rPr>
          <w:rFonts w:ascii="Times New Roman" w:hAnsi="Times New Roman" w:cs="Times New Roman"/>
        </w:rPr>
        <w:t>cca</w:t>
      </w:r>
      <w:proofErr w:type="spellEnd"/>
      <w:r w:rsidRPr="00353753">
        <w:rPr>
          <w:rFonts w:ascii="Times New Roman" w:hAnsi="Times New Roman" w:cs="Times New Roman"/>
        </w:rPr>
        <w:t xml:space="preserve"> 20% u odnosu na ukupan broj pretplatničkih brojeva. U budućim nabavama trebalo bi definirati dinamiku </w:t>
      </w:r>
      <w:proofErr w:type="spellStart"/>
      <w:r w:rsidRPr="00353753">
        <w:rPr>
          <w:rFonts w:ascii="Times New Roman" w:hAnsi="Times New Roman" w:cs="Times New Roman"/>
        </w:rPr>
        <w:t>zanavljanja</w:t>
      </w:r>
      <w:proofErr w:type="spellEnd"/>
      <w:r w:rsidRPr="00353753">
        <w:rPr>
          <w:rFonts w:ascii="Times New Roman" w:hAnsi="Times New Roman" w:cs="Times New Roman"/>
        </w:rPr>
        <w:t xml:space="preserve"> uređaja u odnosu na uslugu za „prosječnog“ službenika uz iznimku terenskih poslova </w:t>
      </w:r>
      <w:r w:rsidR="00774E7B">
        <w:rPr>
          <w:rFonts w:ascii="Times New Roman" w:hAnsi="Times New Roman" w:cs="Times New Roman"/>
        </w:rPr>
        <w:t>(predlaže se svake tri</w:t>
      </w:r>
      <w:r w:rsidRPr="00353753">
        <w:rPr>
          <w:rFonts w:ascii="Times New Roman" w:hAnsi="Times New Roman" w:cs="Times New Roman"/>
        </w:rPr>
        <w:t xml:space="preserve"> godine </w:t>
      </w:r>
      <w:proofErr w:type="spellStart"/>
      <w:r w:rsidRPr="00353753">
        <w:rPr>
          <w:rFonts w:ascii="Times New Roman" w:hAnsi="Times New Roman" w:cs="Times New Roman"/>
        </w:rPr>
        <w:t>tj</w:t>
      </w:r>
      <w:proofErr w:type="spellEnd"/>
      <w:r w:rsidRPr="00353753">
        <w:rPr>
          <w:rFonts w:ascii="Times New Roman" w:hAnsi="Times New Roman" w:cs="Times New Roman"/>
        </w:rPr>
        <w:t xml:space="preserve"> jednom tijekom trajanja okvirnog sporazuma, jer je kvaliteta uređaja dostigla razinu koja je dovoljna za uobičajene potrebe i za sada novi uređaji ne donose značajne novost u uredskom korištenju/, a tehnologija baterija /Li-Ion/ omoguć</w:t>
      </w:r>
      <w:r w:rsidR="00774E7B">
        <w:rPr>
          <w:rFonts w:ascii="Times New Roman" w:hAnsi="Times New Roman" w:cs="Times New Roman"/>
        </w:rPr>
        <w:t>uje korištenje uređaja tijekom tri</w:t>
      </w:r>
      <w:r w:rsidRPr="00353753">
        <w:rPr>
          <w:rFonts w:ascii="Times New Roman" w:hAnsi="Times New Roman" w:cs="Times New Roman"/>
        </w:rPr>
        <w:t xml:space="preserve"> godine.)</w:t>
      </w:r>
    </w:p>
    <w:p w:rsidR="00B70278" w:rsidRPr="00353753" w:rsidRDefault="00B70278" w:rsidP="007875C3">
      <w:pPr>
        <w:spacing w:line="240" w:lineRule="auto"/>
        <w:jc w:val="both"/>
        <w:rPr>
          <w:rFonts w:ascii="Times New Roman" w:hAnsi="Times New Roman" w:cs="Times New Roman"/>
          <w:b/>
        </w:rPr>
      </w:pPr>
      <w:r w:rsidRPr="00353753">
        <w:rPr>
          <w:rFonts w:ascii="Times New Roman" w:hAnsi="Times New Roman" w:cs="Times New Roman"/>
        </w:rPr>
        <w:t xml:space="preserve">Prosječna potrošnja za „novu“ grupu korisnika u dosadašnjem razdoblju procjenjuje se na </w:t>
      </w:r>
      <w:proofErr w:type="spellStart"/>
      <w:r w:rsidRPr="00353753">
        <w:rPr>
          <w:rFonts w:ascii="Times New Roman" w:hAnsi="Times New Roman" w:cs="Times New Roman"/>
        </w:rPr>
        <w:t>cca</w:t>
      </w:r>
      <w:proofErr w:type="spellEnd"/>
      <w:r w:rsidRPr="00353753">
        <w:rPr>
          <w:rFonts w:ascii="Times New Roman" w:hAnsi="Times New Roman" w:cs="Times New Roman"/>
        </w:rPr>
        <w:t xml:space="preserve"> 120 k</w:t>
      </w:r>
      <w:r w:rsidR="003A1D55">
        <w:rPr>
          <w:rFonts w:ascii="Times New Roman" w:hAnsi="Times New Roman" w:cs="Times New Roman"/>
        </w:rPr>
        <w:t>una</w:t>
      </w:r>
      <w:r w:rsidRPr="00353753">
        <w:rPr>
          <w:rFonts w:ascii="Times New Roman" w:hAnsi="Times New Roman" w:cs="Times New Roman"/>
        </w:rPr>
        <w:t xml:space="preserve"> bez PDV-a mjesečno, a temeljem provedenog postupka javne nabave u 2015</w:t>
      </w:r>
      <w:r w:rsidR="00CB2164">
        <w:rPr>
          <w:rFonts w:ascii="Times New Roman" w:hAnsi="Times New Roman" w:cs="Times New Roman"/>
        </w:rPr>
        <w:t>.</w:t>
      </w:r>
      <w:r w:rsidRPr="00353753">
        <w:rPr>
          <w:rFonts w:ascii="Times New Roman" w:hAnsi="Times New Roman" w:cs="Times New Roman"/>
        </w:rPr>
        <w:t xml:space="preserve"> godini, za razdoblje 2016</w:t>
      </w:r>
      <w:r w:rsidR="003A1D55">
        <w:rPr>
          <w:rFonts w:ascii="Times New Roman" w:hAnsi="Times New Roman" w:cs="Times New Roman"/>
        </w:rPr>
        <w:t xml:space="preserve">.  – </w:t>
      </w:r>
      <w:r w:rsidRPr="00353753">
        <w:rPr>
          <w:rFonts w:ascii="Times New Roman" w:hAnsi="Times New Roman" w:cs="Times New Roman"/>
        </w:rPr>
        <w:t>2017</w:t>
      </w:r>
      <w:r w:rsidR="003A1D55">
        <w:rPr>
          <w:rFonts w:ascii="Times New Roman" w:hAnsi="Times New Roman" w:cs="Times New Roman"/>
        </w:rPr>
        <w:t>.</w:t>
      </w:r>
      <w:r w:rsidRPr="00353753">
        <w:rPr>
          <w:rFonts w:ascii="Times New Roman" w:hAnsi="Times New Roman" w:cs="Times New Roman"/>
        </w:rPr>
        <w:t xml:space="preserve"> očekuje se </w:t>
      </w:r>
      <w:r w:rsidRPr="00353753">
        <w:rPr>
          <w:rFonts w:ascii="Times New Roman" w:hAnsi="Times New Roman" w:cs="Times New Roman"/>
          <w:b/>
        </w:rPr>
        <w:t xml:space="preserve">smanjenje ukupne potrošnje od </w:t>
      </w:r>
      <w:proofErr w:type="spellStart"/>
      <w:r w:rsidRPr="00353753">
        <w:rPr>
          <w:rFonts w:ascii="Times New Roman" w:hAnsi="Times New Roman" w:cs="Times New Roman"/>
          <w:b/>
        </w:rPr>
        <w:t>cca</w:t>
      </w:r>
      <w:proofErr w:type="spellEnd"/>
      <w:r w:rsidRPr="00353753">
        <w:rPr>
          <w:rFonts w:ascii="Times New Roman" w:hAnsi="Times New Roman" w:cs="Times New Roman"/>
          <w:b/>
        </w:rPr>
        <w:t xml:space="preserve"> 35% za navedenu grupu korisnika </w:t>
      </w:r>
      <w:proofErr w:type="spellStart"/>
      <w:r w:rsidRPr="00353753">
        <w:rPr>
          <w:rFonts w:ascii="Times New Roman" w:hAnsi="Times New Roman" w:cs="Times New Roman"/>
          <w:b/>
        </w:rPr>
        <w:t>tj</w:t>
      </w:r>
      <w:proofErr w:type="spellEnd"/>
      <w:r w:rsidRPr="00353753">
        <w:rPr>
          <w:rFonts w:ascii="Times New Roman" w:hAnsi="Times New Roman" w:cs="Times New Roman"/>
          <w:b/>
        </w:rPr>
        <w:t xml:space="preserve"> </w:t>
      </w:r>
      <w:proofErr w:type="spellStart"/>
      <w:r w:rsidRPr="00353753">
        <w:rPr>
          <w:rFonts w:ascii="Times New Roman" w:hAnsi="Times New Roman" w:cs="Times New Roman"/>
          <w:b/>
        </w:rPr>
        <w:t>cca</w:t>
      </w:r>
      <w:proofErr w:type="spellEnd"/>
      <w:r w:rsidRPr="00353753">
        <w:rPr>
          <w:rFonts w:ascii="Times New Roman" w:hAnsi="Times New Roman" w:cs="Times New Roman"/>
          <w:b/>
        </w:rPr>
        <w:t xml:space="preserve"> 75 k</w:t>
      </w:r>
      <w:r w:rsidR="003A1D55">
        <w:rPr>
          <w:rFonts w:ascii="Times New Roman" w:hAnsi="Times New Roman" w:cs="Times New Roman"/>
          <w:b/>
        </w:rPr>
        <w:t>una</w:t>
      </w:r>
      <w:r w:rsidRPr="00353753">
        <w:rPr>
          <w:rFonts w:ascii="Times New Roman" w:hAnsi="Times New Roman" w:cs="Times New Roman"/>
          <w:b/>
        </w:rPr>
        <w:t xml:space="preserve"> bez PDV-a)</w:t>
      </w:r>
      <w:r w:rsidRPr="00353753">
        <w:rPr>
          <w:rFonts w:ascii="Times New Roman" w:hAnsi="Times New Roman" w:cs="Times New Roman"/>
        </w:rPr>
        <w:t xml:space="preserve">, dok se za 34 dosadašnja obveznika očekuje sličan učinak </w:t>
      </w:r>
      <w:r w:rsidRPr="00353753">
        <w:rPr>
          <w:rFonts w:ascii="Times New Roman" w:hAnsi="Times New Roman" w:cs="Times New Roman"/>
          <w:b/>
        </w:rPr>
        <w:t>(60 k</w:t>
      </w:r>
      <w:r w:rsidR="003A1D55">
        <w:rPr>
          <w:rFonts w:ascii="Times New Roman" w:hAnsi="Times New Roman" w:cs="Times New Roman"/>
          <w:b/>
        </w:rPr>
        <w:t>una</w:t>
      </w:r>
      <w:r w:rsidRPr="00353753">
        <w:rPr>
          <w:rFonts w:ascii="Times New Roman" w:hAnsi="Times New Roman" w:cs="Times New Roman"/>
          <w:b/>
        </w:rPr>
        <w:t xml:space="preserve"> bez PDV-a po pretplatničkom broju mjesečno).</w:t>
      </w:r>
    </w:p>
    <w:p w:rsidR="00B70278" w:rsidRPr="00353753" w:rsidRDefault="00B70278" w:rsidP="007875C3">
      <w:pPr>
        <w:pStyle w:val="Odlomakpopisa"/>
        <w:numPr>
          <w:ilvl w:val="0"/>
          <w:numId w:val="9"/>
        </w:numPr>
        <w:spacing w:after="0" w:line="240" w:lineRule="auto"/>
        <w:jc w:val="both"/>
        <w:rPr>
          <w:rFonts w:ascii="Times New Roman" w:hAnsi="Times New Roman" w:cs="Times New Roman"/>
          <w:b/>
        </w:rPr>
      </w:pPr>
      <w:r w:rsidRPr="00353753">
        <w:rPr>
          <w:rFonts w:ascii="Times New Roman" w:hAnsi="Times New Roman" w:cs="Times New Roman"/>
          <w:b/>
        </w:rPr>
        <w:t xml:space="preserve">Troškovi za internetske usluge </w:t>
      </w:r>
    </w:p>
    <w:p w:rsidR="00B70278" w:rsidRPr="00353753" w:rsidRDefault="00B70278" w:rsidP="007875C3">
      <w:pPr>
        <w:spacing w:line="240" w:lineRule="auto"/>
        <w:jc w:val="both"/>
        <w:rPr>
          <w:rFonts w:ascii="Times New Roman" w:hAnsi="Times New Roman" w:cs="Times New Roman"/>
        </w:rPr>
      </w:pPr>
      <w:r w:rsidRPr="00353753">
        <w:rPr>
          <w:rFonts w:ascii="Times New Roman" w:hAnsi="Times New Roman" w:cs="Times New Roman"/>
        </w:rPr>
        <w:t xml:space="preserve">Postupak nabave za internetske usluge na središnjoj razini planira se provesti 2016. godine. Međutim, kod utvrđivanja prosječne potrošnje po korisniku ili zaposleniku u obzir treba uzeti veliki broj parametara: veličinu korisnika (do 50 zaposlenika, od 50 do 200 zaposlenika ili više od 200 zaposlenika); Vrstu usluge koju korisnik treba: (Podatkovne usluge – razina 2 ili 3), Internet usluge (brzina i vrsta </w:t>
      </w:r>
      <w:proofErr w:type="spellStart"/>
      <w:r w:rsidRPr="00353753">
        <w:rPr>
          <w:rFonts w:ascii="Times New Roman" w:hAnsi="Times New Roman" w:cs="Times New Roman"/>
        </w:rPr>
        <w:t>downloada</w:t>
      </w:r>
      <w:proofErr w:type="spellEnd"/>
      <w:r w:rsidRPr="00353753">
        <w:rPr>
          <w:rFonts w:ascii="Times New Roman" w:hAnsi="Times New Roman" w:cs="Times New Roman"/>
        </w:rPr>
        <w:t xml:space="preserve"> / </w:t>
      </w:r>
      <w:proofErr w:type="spellStart"/>
      <w:r w:rsidRPr="00353753">
        <w:rPr>
          <w:rFonts w:ascii="Times New Roman" w:hAnsi="Times New Roman" w:cs="Times New Roman"/>
        </w:rPr>
        <w:t>uploada</w:t>
      </w:r>
      <w:proofErr w:type="spellEnd"/>
      <w:r w:rsidRPr="00353753">
        <w:rPr>
          <w:rFonts w:ascii="Times New Roman" w:hAnsi="Times New Roman" w:cs="Times New Roman"/>
        </w:rPr>
        <w:t xml:space="preserve">, javni servisi, sigurnost (npr. definiranje </w:t>
      </w:r>
      <w:proofErr w:type="spellStart"/>
      <w:r w:rsidRPr="00353753">
        <w:rPr>
          <w:rFonts w:ascii="Times New Roman" w:hAnsi="Times New Roman" w:cs="Times New Roman"/>
        </w:rPr>
        <w:t>firewalla</w:t>
      </w:r>
      <w:proofErr w:type="spellEnd"/>
      <w:r w:rsidRPr="00353753">
        <w:rPr>
          <w:rFonts w:ascii="Times New Roman" w:hAnsi="Times New Roman" w:cs="Times New Roman"/>
        </w:rPr>
        <w:t xml:space="preserve">), IT usluge (usluge u oblaku, podatkovni centar, mail, web…) te eventualno neke specifičnosti korisnika, kao što je postojeće stanje komunikacijske mreže i opreme ili topologija mreža (pristup korisnika s više ili jedne lokacija) i razina SLA (usluge). </w:t>
      </w:r>
    </w:p>
    <w:p w:rsidR="00B70278" w:rsidRPr="00353753" w:rsidRDefault="00B70278" w:rsidP="007875C3">
      <w:pPr>
        <w:pStyle w:val="Odlomakpopisa"/>
        <w:numPr>
          <w:ilvl w:val="0"/>
          <w:numId w:val="9"/>
        </w:numPr>
        <w:spacing w:after="0" w:line="240" w:lineRule="auto"/>
        <w:jc w:val="both"/>
        <w:rPr>
          <w:rFonts w:ascii="Times New Roman" w:hAnsi="Times New Roman" w:cs="Times New Roman"/>
          <w:b/>
        </w:rPr>
      </w:pPr>
      <w:r w:rsidRPr="00353753">
        <w:rPr>
          <w:rFonts w:ascii="Times New Roman" w:hAnsi="Times New Roman" w:cs="Times New Roman"/>
          <w:b/>
        </w:rPr>
        <w:t>Troškovi za poštanske usluge</w:t>
      </w:r>
    </w:p>
    <w:p w:rsidR="00B70278" w:rsidRPr="00353753" w:rsidRDefault="00B70278" w:rsidP="007875C3">
      <w:pPr>
        <w:spacing w:line="240" w:lineRule="auto"/>
        <w:jc w:val="both"/>
        <w:rPr>
          <w:rFonts w:ascii="Times New Roman" w:hAnsi="Times New Roman" w:cs="Times New Roman"/>
        </w:rPr>
      </w:pPr>
      <w:r w:rsidRPr="00353753">
        <w:rPr>
          <w:rFonts w:ascii="Times New Roman" w:hAnsi="Times New Roman" w:cs="Times New Roman"/>
        </w:rPr>
        <w:t>Sukladno podacima o realizaciji dosadašnjeg okvirnog sporazuma (razdoblje 2014</w:t>
      </w:r>
      <w:r w:rsidR="002C4307">
        <w:rPr>
          <w:rFonts w:ascii="Times New Roman" w:hAnsi="Times New Roman" w:cs="Times New Roman"/>
        </w:rPr>
        <w:t xml:space="preserve">. – </w:t>
      </w:r>
      <w:r w:rsidRPr="00353753">
        <w:rPr>
          <w:rFonts w:ascii="Times New Roman" w:hAnsi="Times New Roman" w:cs="Times New Roman"/>
        </w:rPr>
        <w:t>2015</w:t>
      </w:r>
      <w:r w:rsidR="002C4307">
        <w:rPr>
          <w:rFonts w:ascii="Times New Roman" w:hAnsi="Times New Roman" w:cs="Times New Roman"/>
        </w:rPr>
        <w:t>.</w:t>
      </w:r>
      <w:r w:rsidRPr="00353753">
        <w:rPr>
          <w:rFonts w:ascii="Times New Roman" w:hAnsi="Times New Roman" w:cs="Times New Roman"/>
        </w:rPr>
        <w:t xml:space="preserve">), godišnja potrošnja za </w:t>
      </w:r>
      <w:proofErr w:type="spellStart"/>
      <w:r w:rsidRPr="00353753">
        <w:rPr>
          <w:rFonts w:ascii="Times New Roman" w:hAnsi="Times New Roman" w:cs="Times New Roman"/>
        </w:rPr>
        <w:t>cca</w:t>
      </w:r>
      <w:proofErr w:type="spellEnd"/>
      <w:r w:rsidRPr="00353753">
        <w:rPr>
          <w:rFonts w:ascii="Times New Roman" w:hAnsi="Times New Roman" w:cs="Times New Roman"/>
        </w:rPr>
        <w:t xml:space="preserve"> 150 tijela (STDU i pravosudna tijela) iznosi </w:t>
      </w:r>
      <w:proofErr w:type="spellStart"/>
      <w:r w:rsidRPr="00353753">
        <w:rPr>
          <w:rFonts w:ascii="Times New Roman" w:hAnsi="Times New Roman" w:cs="Times New Roman"/>
        </w:rPr>
        <w:t>cca</w:t>
      </w:r>
      <w:proofErr w:type="spellEnd"/>
      <w:r w:rsidRPr="00353753">
        <w:rPr>
          <w:rFonts w:ascii="Times New Roman" w:hAnsi="Times New Roman" w:cs="Times New Roman"/>
        </w:rPr>
        <w:t xml:space="preserve"> 125 mil</w:t>
      </w:r>
      <w:r w:rsidR="002C4307">
        <w:rPr>
          <w:rFonts w:ascii="Times New Roman" w:hAnsi="Times New Roman" w:cs="Times New Roman"/>
        </w:rPr>
        <w:t>.</w:t>
      </w:r>
      <w:r w:rsidRPr="00353753">
        <w:rPr>
          <w:rFonts w:ascii="Times New Roman" w:hAnsi="Times New Roman" w:cs="Times New Roman"/>
        </w:rPr>
        <w:t xml:space="preserve"> kuna bez PDV-a. Pri tome, na pravosudna i kaznena tijela zbog velike količine sudskih pismena otpada </w:t>
      </w:r>
      <w:proofErr w:type="spellStart"/>
      <w:r w:rsidRPr="00353753">
        <w:rPr>
          <w:rFonts w:ascii="Times New Roman" w:hAnsi="Times New Roman" w:cs="Times New Roman"/>
        </w:rPr>
        <w:t>cca</w:t>
      </w:r>
      <w:proofErr w:type="spellEnd"/>
      <w:r w:rsidRPr="00353753">
        <w:rPr>
          <w:rFonts w:ascii="Times New Roman" w:hAnsi="Times New Roman" w:cs="Times New Roman"/>
        </w:rPr>
        <w:t xml:space="preserve"> 50%. Iz dosadašnje </w:t>
      </w:r>
      <w:r w:rsidRPr="00353753">
        <w:rPr>
          <w:rFonts w:ascii="Times New Roman" w:hAnsi="Times New Roman" w:cs="Times New Roman"/>
        </w:rPr>
        <w:lastRenderedPageBreak/>
        <w:t xml:space="preserve">realizacije prosječna mjesečna potrošnja kod pravosudnih tijela iznosi </w:t>
      </w:r>
      <w:proofErr w:type="spellStart"/>
      <w:r w:rsidRPr="00353753">
        <w:rPr>
          <w:rFonts w:ascii="Times New Roman" w:hAnsi="Times New Roman" w:cs="Times New Roman"/>
          <w:b/>
        </w:rPr>
        <w:t>cca</w:t>
      </w:r>
      <w:proofErr w:type="spellEnd"/>
      <w:r w:rsidRPr="00353753">
        <w:rPr>
          <w:rFonts w:ascii="Times New Roman" w:hAnsi="Times New Roman" w:cs="Times New Roman"/>
          <w:b/>
        </w:rPr>
        <w:t xml:space="preserve"> 350 </w:t>
      </w:r>
      <w:r w:rsidR="002C4307" w:rsidRPr="00353753">
        <w:rPr>
          <w:rFonts w:ascii="Times New Roman" w:hAnsi="Times New Roman" w:cs="Times New Roman"/>
          <w:b/>
        </w:rPr>
        <w:t>k</w:t>
      </w:r>
      <w:r w:rsidR="002C4307">
        <w:rPr>
          <w:rFonts w:ascii="Times New Roman" w:hAnsi="Times New Roman" w:cs="Times New Roman"/>
          <w:b/>
        </w:rPr>
        <w:t>una</w:t>
      </w:r>
      <w:r w:rsidR="002C4307" w:rsidRPr="00353753">
        <w:rPr>
          <w:rFonts w:ascii="Times New Roman" w:hAnsi="Times New Roman" w:cs="Times New Roman"/>
          <w:b/>
        </w:rPr>
        <w:t xml:space="preserve"> </w:t>
      </w:r>
      <w:r w:rsidRPr="00353753">
        <w:rPr>
          <w:rFonts w:ascii="Times New Roman" w:hAnsi="Times New Roman" w:cs="Times New Roman"/>
          <w:b/>
        </w:rPr>
        <w:t>bez PDV-a po zaposleniku/mjesečno</w:t>
      </w:r>
      <w:r w:rsidRPr="00353753">
        <w:rPr>
          <w:rFonts w:ascii="Times New Roman" w:hAnsi="Times New Roman" w:cs="Times New Roman"/>
        </w:rPr>
        <w:t>. Za tijela izvršne vlasti (uključujući VRH, HS i UPRH) zbog različitosti u korištenju pojedinih poštanskih usluga te s obzirom na djelokrug rada, nije moguće utvrditi prosjek po zaposleniku.</w:t>
      </w:r>
    </w:p>
    <w:p w:rsidR="00B70278" w:rsidRPr="00A97FB1" w:rsidRDefault="00B70278" w:rsidP="00CB2164">
      <w:pPr>
        <w:spacing w:line="240" w:lineRule="auto"/>
        <w:jc w:val="both"/>
        <w:rPr>
          <w:rFonts w:ascii="Times New Roman" w:hAnsi="Times New Roman" w:cs="Times New Roman"/>
          <w:b/>
        </w:rPr>
      </w:pPr>
      <w:r w:rsidRPr="00353753">
        <w:rPr>
          <w:rFonts w:ascii="Times New Roman" w:hAnsi="Times New Roman" w:cs="Times New Roman"/>
        </w:rPr>
        <w:t xml:space="preserve">S obzirom da se kod poštanskih usluga zbog tržišnih okolnosti  u budućem postupcima javne nabave, očekuju manji postoci ušteda na cijenama poštanskih usluga, potrebno je razmotriti </w:t>
      </w:r>
      <w:r w:rsidRPr="00353753">
        <w:rPr>
          <w:rFonts w:ascii="Times New Roman" w:hAnsi="Times New Roman" w:cs="Times New Roman"/>
          <w:b/>
        </w:rPr>
        <w:t>mjere za smanjenje količina usluga</w:t>
      </w:r>
      <w:r w:rsidRPr="00353753">
        <w:rPr>
          <w:rFonts w:ascii="Times New Roman" w:hAnsi="Times New Roman" w:cs="Times New Roman"/>
        </w:rPr>
        <w:t xml:space="preserve">, kako bi se u konačnici smanjili rashodi za ovu vrstu usluga. U tom smislu, potrebno je </w:t>
      </w:r>
      <w:r w:rsidRPr="003F511D">
        <w:rPr>
          <w:rFonts w:ascii="Times New Roman" w:hAnsi="Times New Roman" w:cs="Times New Roman"/>
          <w:b/>
        </w:rPr>
        <w:t>potaknuti uvođenje standardizacije procesa dostave i razmjene službenih dokumenata putem elektroničke pošte između svakog tijela pojedinačno ili uvođenjem jedinstvenog poštanskog pretinca za službenike</w:t>
      </w:r>
      <w:r w:rsidRPr="00353753">
        <w:rPr>
          <w:rFonts w:ascii="Times New Roman" w:hAnsi="Times New Roman" w:cs="Times New Roman"/>
        </w:rPr>
        <w:t>.</w:t>
      </w:r>
      <w:r w:rsidRPr="00353753">
        <w:rPr>
          <w:rFonts w:ascii="Times New Roman" w:hAnsi="Times New Roman" w:cs="Times New Roman"/>
          <w:b/>
        </w:rPr>
        <w:t xml:space="preserve"> </w:t>
      </w:r>
    </w:p>
    <w:p w:rsidR="00B04568" w:rsidRDefault="00805CF6" w:rsidP="0036596B">
      <w:pPr>
        <w:pStyle w:val="Odlomakpopisa"/>
        <w:numPr>
          <w:ilvl w:val="0"/>
          <w:numId w:val="9"/>
        </w:numPr>
        <w:spacing w:line="240" w:lineRule="auto"/>
        <w:ind w:left="0" w:firstLine="360"/>
        <w:jc w:val="both"/>
        <w:rPr>
          <w:rFonts w:ascii="Times New Roman" w:hAnsi="Times New Roman" w:cs="Times New Roman"/>
        </w:rPr>
      </w:pPr>
      <w:r w:rsidRPr="008F093E">
        <w:rPr>
          <w:rFonts w:ascii="Times New Roman" w:hAnsi="Times New Roman" w:cs="Times New Roman"/>
        </w:rPr>
        <w:t>Na jedinstven načinu urediti visinu i vrstu</w:t>
      </w:r>
      <w:r w:rsidR="00B04568" w:rsidRPr="008F093E">
        <w:rPr>
          <w:rFonts w:ascii="Times New Roman" w:hAnsi="Times New Roman" w:cs="Times New Roman"/>
        </w:rPr>
        <w:t xml:space="preserve"> telefonskih usluga koje mogu podmirivati korisnici proračunskih sredstava</w:t>
      </w:r>
      <w:r w:rsidR="00F773DA" w:rsidRPr="008F093E">
        <w:rPr>
          <w:rFonts w:ascii="Times New Roman" w:hAnsi="Times New Roman" w:cs="Times New Roman"/>
        </w:rPr>
        <w:t>.</w:t>
      </w:r>
      <w:r w:rsidR="00FB1F80" w:rsidRPr="008F093E">
        <w:rPr>
          <w:rFonts w:ascii="Times New Roman" w:hAnsi="Times New Roman" w:cs="Times New Roman"/>
        </w:rPr>
        <w:t xml:space="preserve"> </w:t>
      </w:r>
    </w:p>
    <w:p w:rsidR="00B70278" w:rsidRPr="00B31485" w:rsidRDefault="008C330C" w:rsidP="0036596B">
      <w:pPr>
        <w:pStyle w:val="Odlomakpopisa"/>
        <w:numPr>
          <w:ilvl w:val="0"/>
          <w:numId w:val="9"/>
        </w:numPr>
        <w:spacing w:line="240" w:lineRule="auto"/>
        <w:ind w:left="0" w:firstLine="349"/>
        <w:jc w:val="both"/>
        <w:rPr>
          <w:rFonts w:ascii="Times New Roman" w:hAnsi="Times New Roman" w:cs="Times New Roman"/>
        </w:rPr>
      </w:pPr>
      <w:r w:rsidRPr="00FA7F54">
        <w:rPr>
          <w:rFonts w:ascii="Times New Roman" w:hAnsi="Times New Roman" w:cs="Times New Roman"/>
        </w:rPr>
        <w:t xml:space="preserve">Procjena </w:t>
      </w:r>
      <w:r w:rsidRPr="00FA7F54">
        <w:rPr>
          <w:rFonts w:ascii="Times New Roman" w:eastAsia="Times New Roman" w:hAnsi="Times New Roman"/>
          <w:lang w:eastAsia="hr-HR"/>
        </w:rPr>
        <w:t>učinkovitog i djelotvornog funkcioniranja sustava financijskog upravljanja i kontrola</w:t>
      </w:r>
      <w:r w:rsidRPr="00FA7F54">
        <w:rPr>
          <w:rFonts w:ascii="Times New Roman" w:hAnsi="Times New Roman" w:cs="Times New Roman"/>
        </w:rPr>
        <w:t>:</w:t>
      </w:r>
      <w:r>
        <w:rPr>
          <w:rFonts w:ascii="Times New Roman" w:hAnsi="Times New Roman" w:cs="Times New Roman"/>
        </w:rPr>
        <w:t xml:space="preserve"> izračun prosječnih troškova </w:t>
      </w:r>
      <w:r w:rsidR="005166C5">
        <w:rPr>
          <w:rFonts w:ascii="Times New Roman" w:hAnsi="Times New Roman" w:cs="Times New Roman"/>
        </w:rPr>
        <w:t>fiksne telefonije</w:t>
      </w:r>
      <w:r>
        <w:rPr>
          <w:rFonts w:ascii="Times New Roman" w:hAnsi="Times New Roman" w:cs="Times New Roman"/>
        </w:rPr>
        <w:t xml:space="preserve"> po</w:t>
      </w:r>
      <w:r w:rsidR="005166C5">
        <w:rPr>
          <w:rFonts w:ascii="Times New Roman" w:hAnsi="Times New Roman" w:cs="Times New Roman"/>
        </w:rPr>
        <w:t xml:space="preserve"> zaposleniku mjesečno i po</w:t>
      </w:r>
      <w:r w:rsidRPr="00FA7F54">
        <w:rPr>
          <w:rFonts w:ascii="Times New Roman" w:hAnsi="Times New Roman" w:cs="Times New Roman"/>
        </w:rPr>
        <w:t xml:space="preserve"> </w:t>
      </w:r>
      <w:r>
        <w:rPr>
          <w:rFonts w:ascii="Times New Roman" w:hAnsi="Times New Roman" w:cs="Times New Roman"/>
        </w:rPr>
        <w:t>pretplatničkom broju</w:t>
      </w:r>
      <w:r w:rsidR="00F62FA3">
        <w:rPr>
          <w:rFonts w:ascii="Times New Roman" w:hAnsi="Times New Roman" w:cs="Times New Roman"/>
        </w:rPr>
        <w:t xml:space="preserve"> mobilne telefonije</w:t>
      </w:r>
      <w:r w:rsidR="007B0156">
        <w:rPr>
          <w:rFonts w:ascii="Times New Roman" w:hAnsi="Times New Roman" w:cs="Times New Roman"/>
        </w:rPr>
        <w:t xml:space="preserve"> mjesečno.</w:t>
      </w:r>
    </w:p>
    <w:p w:rsidR="00ED14A8" w:rsidRPr="00FA7F54" w:rsidRDefault="00ED14A8" w:rsidP="00ED14A8">
      <w:pPr>
        <w:pStyle w:val="Naslov2"/>
        <w:rPr>
          <w:rFonts w:ascii="Times New Roman" w:hAnsi="Times New Roman" w:cs="Times New Roman"/>
          <w:color w:val="auto"/>
          <w:sz w:val="22"/>
          <w:szCs w:val="22"/>
        </w:rPr>
      </w:pPr>
      <w:bookmarkStart w:id="73" w:name="_Toc434411189"/>
      <w:bookmarkStart w:id="74" w:name="_Toc436402332"/>
      <w:r w:rsidRPr="00FA7F54">
        <w:rPr>
          <w:rFonts w:ascii="Times New Roman" w:hAnsi="Times New Roman" w:cs="Times New Roman"/>
          <w:color w:val="auto"/>
          <w:sz w:val="22"/>
          <w:szCs w:val="22"/>
        </w:rPr>
        <w:t xml:space="preserve">USLUGE </w:t>
      </w:r>
      <w:r w:rsidR="009D5F56" w:rsidRPr="00FA7F54">
        <w:rPr>
          <w:rFonts w:ascii="Times New Roman" w:hAnsi="Times New Roman" w:cs="Times New Roman"/>
          <w:color w:val="auto"/>
          <w:sz w:val="22"/>
          <w:szCs w:val="22"/>
        </w:rPr>
        <w:t>TEKUĆEG I INVESTICIJSKOG ODRŽAVANJA</w:t>
      </w:r>
      <w:r w:rsidRPr="00FA7F54">
        <w:rPr>
          <w:rFonts w:ascii="Times New Roman" w:hAnsi="Times New Roman" w:cs="Times New Roman"/>
          <w:color w:val="auto"/>
          <w:sz w:val="22"/>
          <w:szCs w:val="22"/>
        </w:rPr>
        <w:t xml:space="preserve"> (32</w:t>
      </w:r>
      <w:r w:rsidR="00FB50CE" w:rsidRPr="00FA7F54">
        <w:rPr>
          <w:rFonts w:ascii="Times New Roman" w:hAnsi="Times New Roman" w:cs="Times New Roman"/>
          <w:color w:val="auto"/>
          <w:sz w:val="22"/>
          <w:szCs w:val="22"/>
        </w:rPr>
        <w:t>32</w:t>
      </w:r>
      <w:r w:rsidRPr="00FA7F54">
        <w:rPr>
          <w:rFonts w:ascii="Times New Roman" w:hAnsi="Times New Roman" w:cs="Times New Roman"/>
          <w:color w:val="auto"/>
          <w:sz w:val="22"/>
          <w:szCs w:val="22"/>
        </w:rPr>
        <w:t>)</w:t>
      </w:r>
      <w:bookmarkEnd w:id="73"/>
      <w:bookmarkEnd w:id="74"/>
    </w:p>
    <w:p w:rsidR="006A490C" w:rsidRPr="00FA7F54" w:rsidRDefault="006A490C" w:rsidP="006A490C">
      <w:pPr>
        <w:spacing w:line="240" w:lineRule="auto"/>
        <w:jc w:val="both"/>
        <w:rPr>
          <w:rFonts w:ascii="Times New Roman" w:hAnsi="Times New Roman" w:cs="Times New Roman"/>
        </w:rPr>
      </w:pPr>
      <w:r w:rsidRPr="00FA7F54">
        <w:rPr>
          <w:rFonts w:ascii="Times New Roman" w:hAnsi="Times New Roman" w:cs="Times New Roman"/>
        </w:rPr>
        <w:t>Prema iskazanim podacima u financijskim izvještajima rashodi za usluge tekućeg i investicijskog održavanja u 2013. godini iznosili su 2</w:t>
      </w:r>
      <w:r w:rsidR="002C4307">
        <w:rPr>
          <w:rFonts w:ascii="Times New Roman" w:hAnsi="Times New Roman" w:cs="Times New Roman"/>
        </w:rPr>
        <w:t>,</w:t>
      </w:r>
      <w:r w:rsidRPr="00FA7F54">
        <w:rPr>
          <w:rFonts w:ascii="Times New Roman" w:hAnsi="Times New Roman" w:cs="Times New Roman"/>
        </w:rPr>
        <w:t>237</w:t>
      </w:r>
      <w:r w:rsidR="002C4307">
        <w:rPr>
          <w:rFonts w:ascii="Times New Roman" w:hAnsi="Times New Roman" w:cs="Times New Roman"/>
        </w:rPr>
        <w:t>mlrd.</w:t>
      </w:r>
      <w:r w:rsidRPr="00FA7F54">
        <w:rPr>
          <w:rFonts w:ascii="Times New Roman" w:hAnsi="Times New Roman" w:cs="Times New Roman"/>
        </w:rPr>
        <w:t xml:space="preserve"> kuna, a u 2014. godini 2</w:t>
      </w:r>
      <w:r w:rsidR="002C4307">
        <w:rPr>
          <w:rFonts w:ascii="Times New Roman" w:hAnsi="Times New Roman" w:cs="Times New Roman"/>
        </w:rPr>
        <w:t>,</w:t>
      </w:r>
      <w:r w:rsidRPr="00FA7F54">
        <w:rPr>
          <w:rFonts w:ascii="Times New Roman" w:hAnsi="Times New Roman" w:cs="Times New Roman"/>
        </w:rPr>
        <w:t>163</w:t>
      </w:r>
      <w:r w:rsidR="002C4307">
        <w:rPr>
          <w:rFonts w:ascii="Times New Roman" w:hAnsi="Times New Roman" w:cs="Times New Roman"/>
        </w:rPr>
        <w:t>mlrd.</w:t>
      </w:r>
      <w:r w:rsidRPr="00FA7F54">
        <w:rPr>
          <w:rFonts w:ascii="Times New Roman" w:hAnsi="Times New Roman" w:cs="Times New Roman"/>
        </w:rPr>
        <w:t xml:space="preserve"> kuna. U državnom proračunu za 2015. godinu planirano je </w:t>
      </w:r>
      <w:r w:rsidR="00DA1611" w:rsidRPr="00FA7F54">
        <w:rPr>
          <w:rFonts w:ascii="Times New Roman" w:hAnsi="Times New Roman" w:cs="Times New Roman"/>
        </w:rPr>
        <w:t>748,4</w:t>
      </w:r>
      <w:r w:rsidRPr="00FA7F54">
        <w:rPr>
          <w:rFonts w:ascii="Times New Roman" w:hAnsi="Times New Roman" w:cs="Times New Roman"/>
        </w:rPr>
        <w:t xml:space="preserve"> mil. kuna navedenih rashoda od čega se </w:t>
      </w:r>
      <w:r w:rsidR="00DA1611" w:rsidRPr="00FA7F54">
        <w:rPr>
          <w:rFonts w:ascii="Times New Roman" w:hAnsi="Times New Roman" w:cs="Times New Roman"/>
        </w:rPr>
        <w:t xml:space="preserve">627,7 </w:t>
      </w:r>
      <w:r w:rsidRPr="00FA7F54">
        <w:rPr>
          <w:rFonts w:ascii="Times New Roman" w:hAnsi="Times New Roman" w:cs="Times New Roman"/>
        </w:rPr>
        <w:t xml:space="preserve">mil. </w:t>
      </w:r>
      <w:r w:rsidR="002C4307">
        <w:rPr>
          <w:rFonts w:ascii="Times New Roman" w:hAnsi="Times New Roman" w:cs="Times New Roman"/>
        </w:rPr>
        <w:t xml:space="preserve">kuna </w:t>
      </w:r>
      <w:r w:rsidRPr="00FA7F54">
        <w:rPr>
          <w:rFonts w:ascii="Times New Roman" w:hAnsi="Times New Roman" w:cs="Times New Roman"/>
        </w:rPr>
        <w:t>financira iz izvora u limitu.</w:t>
      </w:r>
    </w:p>
    <w:p w:rsidR="004859E1" w:rsidRPr="00FA7F54" w:rsidRDefault="006A490C" w:rsidP="00C83540">
      <w:pPr>
        <w:spacing w:line="240" w:lineRule="auto"/>
        <w:rPr>
          <w:rFonts w:ascii="Times New Roman" w:hAnsi="Times New Roman" w:cs="Times New Roman"/>
        </w:rPr>
      </w:pPr>
      <w:r w:rsidRPr="00FA7F54">
        <w:rPr>
          <w:rFonts w:ascii="Times New Roman" w:hAnsi="Times New Roman" w:cs="Times New Roman"/>
        </w:rPr>
        <w:t>Najveći dio rashoda odnosi se na</w:t>
      </w:r>
      <w:r w:rsidR="00F2037B" w:rsidRPr="00FA7F54">
        <w:rPr>
          <w:rFonts w:ascii="Times New Roman" w:hAnsi="Times New Roman" w:cs="Times New Roman"/>
        </w:rPr>
        <w:t xml:space="preserve"> izvanproračunske korisnike Hrvatske ceste i Hrvatske vode, zatim na</w:t>
      </w:r>
      <w:r w:rsidRPr="00FA7F54">
        <w:rPr>
          <w:rFonts w:ascii="Times New Roman" w:hAnsi="Times New Roman" w:cs="Times New Roman"/>
        </w:rPr>
        <w:t xml:space="preserve"> tijela izvršne vlasti (MORH, </w:t>
      </w:r>
      <w:r w:rsidR="001F48D5" w:rsidRPr="00FA7F54">
        <w:rPr>
          <w:rFonts w:ascii="Times New Roman" w:hAnsi="Times New Roman" w:cs="Times New Roman"/>
        </w:rPr>
        <w:t>MUP</w:t>
      </w:r>
      <w:r w:rsidRPr="00FA7F54">
        <w:rPr>
          <w:rFonts w:ascii="Times New Roman" w:hAnsi="Times New Roman" w:cs="Times New Roman"/>
        </w:rPr>
        <w:t>).</w:t>
      </w:r>
    </w:p>
    <w:p w:rsidR="009835A2" w:rsidRPr="002C4307" w:rsidRDefault="009835A2" w:rsidP="006B7B79">
      <w:pPr>
        <w:pStyle w:val="Opisslike"/>
        <w:spacing w:after="0"/>
        <w:jc w:val="both"/>
        <w:rPr>
          <w:rFonts w:ascii="Times New Roman" w:hAnsi="Times New Roman" w:cs="Times New Roman"/>
          <w:sz w:val="20"/>
          <w:szCs w:val="20"/>
        </w:rPr>
      </w:pPr>
      <w:bookmarkStart w:id="75" w:name="_Toc436402281"/>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34</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A701BA" w:rsidRPr="006B7B79">
        <w:rPr>
          <w:rFonts w:ascii="Times New Roman" w:hAnsi="Times New Roman" w:cs="Times New Roman"/>
          <w:sz w:val="20"/>
          <w:szCs w:val="20"/>
        </w:rPr>
        <w:t xml:space="preserve"> Usluge tekućeg i investicijskog održavanja prema podacima iskazanim u financijskim izvještajima proračunskih i izvanproračunskih korisnika za 2013. i 2014. godinu te planu Državnog proračuna za 2015. godinu</w:t>
      </w:r>
      <w:bookmarkEnd w:id="75"/>
    </w:p>
    <w:p w:rsidR="002A289C" w:rsidRPr="00FA7F54" w:rsidRDefault="00CD42F6" w:rsidP="002C4307">
      <w:pPr>
        <w:spacing w:line="240" w:lineRule="auto"/>
        <w:jc w:val="center"/>
        <w:rPr>
          <w:rFonts w:ascii="Times New Roman" w:hAnsi="Times New Roman" w:cs="Times New Roman"/>
        </w:rPr>
      </w:pPr>
      <w:r w:rsidRPr="00CD42F6">
        <w:rPr>
          <w:noProof/>
          <w:lang w:eastAsia="hr-HR"/>
        </w:rPr>
        <w:drawing>
          <wp:inline distT="0" distB="0" distL="0" distR="0" wp14:anchorId="6B990198" wp14:editId="67DF1EF3">
            <wp:extent cx="5705475" cy="3629025"/>
            <wp:effectExtent l="0" t="0" r="9525" b="9525"/>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5475" cy="3629025"/>
                    </a:xfrm>
                    <a:prstGeom prst="rect">
                      <a:avLst/>
                    </a:prstGeom>
                    <a:noFill/>
                    <a:ln>
                      <a:noFill/>
                    </a:ln>
                  </pic:spPr>
                </pic:pic>
              </a:graphicData>
            </a:graphic>
          </wp:inline>
        </w:drawing>
      </w:r>
    </w:p>
    <w:p w:rsidR="004859E1" w:rsidRPr="00FA7F54" w:rsidRDefault="00B24EFF" w:rsidP="00722BF8">
      <w:pPr>
        <w:spacing w:line="240" w:lineRule="auto"/>
        <w:jc w:val="both"/>
        <w:rPr>
          <w:rFonts w:ascii="Times New Roman" w:hAnsi="Times New Roman" w:cs="Times New Roman"/>
        </w:rPr>
      </w:pPr>
      <w:r w:rsidRPr="00FA7F54">
        <w:rPr>
          <w:rFonts w:ascii="Times New Roman" w:hAnsi="Times New Roman" w:cs="Times New Roman"/>
        </w:rPr>
        <w:t>Navedeni rashodi uključuju usluge tekućeg i investicijskog održavanja građevinskih objekata, postrojenja i opreme, prijevoznih sredstava i ostale usluge tekuć</w:t>
      </w:r>
      <w:r w:rsidR="003D3150" w:rsidRPr="00FA7F54">
        <w:rPr>
          <w:rFonts w:ascii="Times New Roman" w:hAnsi="Times New Roman" w:cs="Times New Roman"/>
        </w:rPr>
        <w:t>eg i investicijskog održavanja.</w:t>
      </w:r>
    </w:p>
    <w:p w:rsidR="009835A2" w:rsidRPr="002C4307" w:rsidRDefault="009835A2" w:rsidP="006B7B79">
      <w:pPr>
        <w:pStyle w:val="Opisslike"/>
        <w:spacing w:after="0"/>
        <w:jc w:val="both"/>
        <w:rPr>
          <w:rFonts w:ascii="Times New Roman" w:hAnsi="Times New Roman" w:cs="Times New Roman"/>
          <w:sz w:val="20"/>
          <w:szCs w:val="20"/>
        </w:rPr>
      </w:pPr>
      <w:bookmarkStart w:id="76" w:name="_Toc436402282"/>
      <w:r w:rsidRPr="006B7B79">
        <w:rPr>
          <w:rFonts w:ascii="Times New Roman" w:hAnsi="Times New Roman" w:cs="Times New Roman"/>
          <w:sz w:val="20"/>
          <w:szCs w:val="20"/>
        </w:rPr>
        <w:lastRenderedPageBreak/>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35</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 xml:space="preserve">: </w:t>
      </w:r>
      <w:r w:rsidR="0003396C" w:rsidRPr="006B7B79">
        <w:rPr>
          <w:rFonts w:ascii="Times New Roman" w:hAnsi="Times New Roman" w:cs="Times New Roman"/>
          <w:sz w:val="20"/>
          <w:szCs w:val="20"/>
        </w:rPr>
        <w:t>Usluge tekućeg i investicijskog održavanja prema podacima iskazanim u državnom proračunu – izvršenje za 2014. (u mil.</w:t>
      </w:r>
      <w:r w:rsidR="002C4307">
        <w:rPr>
          <w:rFonts w:ascii="Times New Roman" w:hAnsi="Times New Roman" w:cs="Times New Roman"/>
          <w:sz w:val="20"/>
          <w:szCs w:val="20"/>
        </w:rPr>
        <w:t xml:space="preserve"> kuna</w:t>
      </w:r>
      <w:r w:rsidR="0003396C" w:rsidRPr="006B7B79">
        <w:rPr>
          <w:rFonts w:ascii="Times New Roman" w:hAnsi="Times New Roman" w:cs="Times New Roman"/>
          <w:sz w:val="20"/>
          <w:szCs w:val="20"/>
        </w:rPr>
        <w:t>)</w:t>
      </w:r>
      <w:bookmarkEnd w:id="76"/>
    </w:p>
    <w:tbl>
      <w:tblPr>
        <w:tblW w:w="8040" w:type="dxa"/>
        <w:jc w:val="center"/>
        <w:tblInd w:w="93" w:type="dxa"/>
        <w:tblLook w:val="04A0" w:firstRow="1" w:lastRow="0" w:firstColumn="1" w:lastColumn="0" w:noHBand="0" w:noVBand="1"/>
      </w:tblPr>
      <w:tblGrid>
        <w:gridCol w:w="1360"/>
        <w:gridCol w:w="1275"/>
        <w:gridCol w:w="1360"/>
        <w:gridCol w:w="1360"/>
        <w:gridCol w:w="1360"/>
        <w:gridCol w:w="1360"/>
      </w:tblGrid>
      <w:tr w:rsidR="00933ABB" w:rsidRPr="00AE1FE8" w:rsidTr="002C4307">
        <w:trPr>
          <w:trHeight w:val="1110"/>
          <w:jc w:val="center"/>
        </w:trPr>
        <w:tc>
          <w:tcPr>
            <w:tcW w:w="1360"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933ABB" w:rsidRPr="00AE1FE8" w:rsidRDefault="00933ABB" w:rsidP="002C4307">
            <w:pPr>
              <w:spacing w:after="0" w:line="240" w:lineRule="auto"/>
              <w:jc w:val="center"/>
              <w:rPr>
                <w:rFonts w:ascii="Arial" w:eastAsia="Times New Roman" w:hAnsi="Arial" w:cs="Arial"/>
                <w:b/>
                <w:bCs/>
                <w:sz w:val="16"/>
                <w:szCs w:val="16"/>
                <w:lang w:eastAsia="hr-HR"/>
              </w:rPr>
            </w:pPr>
            <w:r w:rsidRPr="00AE1FE8">
              <w:rPr>
                <w:rFonts w:ascii="Arial" w:eastAsia="Times New Roman" w:hAnsi="Arial" w:cs="Arial"/>
                <w:b/>
                <w:bCs/>
                <w:sz w:val="16"/>
                <w:szCs w:val="16"/>
                <w:lang w:eastAsia="hr-HR"/>
              </w:rPr>
              <w:t>Izvršenje 2014.</w:t>
            </w:r>
          </w:p>
        </w:tc>
        <w:tc>
          <w:tcPr>
            <w:tcW w:w="1240" w:type="dxa"/>
            <w:tcBorders>
              <w:top w:val="single" w:sz="4" w:space="0" w:color="000080"/>
              <w:left w:val="nil"/>
              <w:bottom w:val="single" w:sz="4" w:space="0" w:color="000080"/>
              <w:right w:val="single" w:sz="4" w:space="0" w:color="000080"/>
            </w:tcBorders>
            <w:shd w:val="clear" w:color="000000" w:fill="DCE6F1"/>
            <w:vAlign w:val="center"/>
            <w:hideMark/>
          </w:tcPr>
          <w:p w:rsidR="00933ABB" w:rsidRPr="00AE1FE8" w:rsidRDefault="00933ABB" w:rsidP="002C4307">
            <w:pPr>
              <w:spacing w:after="0" w:line="240" w:lineRule="auto"/>
              <w:jc w:val="center"/>
              <w:rPr>
                <w:rFonts w:ascii="Arial" w:eastAsia="Times New Roman" w:hAnsi="Arial" w:cs="Arial"/>
                <w:b/>
                <w:bCs/>
                <w:color w:val="000000"/>
                <w:sz w:val="16"/>
                <w:szCs w:val="16"/>
                <w:lang w:eastAsia="hr-HR"/>
              </w:rPr>
            </w:pPr>
            <w:r w:rsidRPr="00AE1FE8">
              <w:rPr>
                <w:rFonts w:ascii="Arial" w:eastAsia="Times New Roman" w:hAnsi="Arial" w:cs="Arial"/>
                <w:b/>
                <w:bCs/>
                <w:color w:val="000000"/>
                <w:sz w:val="16"/>
                <w:szCs w:val="16"/>
                <w:lang w:eastAsia="hr-HR"/>
              </w:rPr>
              <w:t>Usluge tekućeg i investicijskog održavanja</w:t>
            </w:r>
          </w:p>
        </w:tc>
        <w:tc>
          <w:tcPr>
            <w:tcW w:w="1360" w:type="dxa"/>
            <w:tcBorders>
              <w:top w:val="single" w:sz="4" w:space="0" w:color="000080"/>
              <w:left w:val="nil"/>
              <w:bottom w:val="single" w:sz="4" w:space="0" w:color="000080"/>
              <w:right w:val="single" w:sz="4" w:space="0" w:color="000080"/>
            </w:tcBorders>
            <w:shd w:val="clear" w:color="000000" w:fill="DCE6F1"/>
            <w:vAlign w:val="center"/>
            <w:hideMark/>
          </w:tcPr>
          <w:p w:rsidR="00933ABB" w:rsidRPr="00AE1FE8" w:rsidRDefault="00933ABB" w:rsidP="002C4307">
            <w:pPr>
              <w:spacing w:after="0" w:line="240" w:lineRule="auto"/>
              <w:jc w:val="center"/>
              <w:rPr>
                <w:rFonts w:ascii="Arial" w:eastAsia="Times New Roman" w:hAnsi="Arial" w:cs="Arial"/>
                <w:color w:val="000000"/>
                <w:sz w:val="16"/>
                <w:szCs w:val="16"/>
                <w:lang w:eastAsia="hr-HR"/>
              </w:rPr>
            </w:pPr>
            <w:r w:rsidRPr="00AE1FE8">
              <w:rPr>
                <w:rFonts w:ascii="Arial" w:eastAsia="Times New Roman" w:hAnsi="Arial" w:cs="Arial"/>
                <w:color w:val="000000"/>
                <w:sz w:val="16"/>
                <w:szCs w:val="16"/>
                <w:lang w:eastAsia="hr-HR"/>
              </w:rPr>
              <w:t>Usluge tekućeg i investicijskog održavanja građevinskih objekata</w:t>
            </w:r>
          </w:p>
        </w:tc>
        <w:tc>
          <w:tcPr>
            <w:tcW w:w="1360" w:type="dxa"/>
            <w:tcBorders>
              <w:top w:val="single" w:sz="4" w:space="0" w:color="000080"/>
              <w:left w:val="nil"/>
              <w:bottom w:val="single" w:sz="4" w:space="0" w:color="000080"/>
              <w:right w:val="single" w:sz="4" w:space="0" w:color="000080"/>
            </w:tcBorders>
            <w:shd w:val="clear" w:color="000000" w:fill="DCE6F1"/>
            <w:vAlign w:val="center"/>
            <w:hideMark/>
          </w:tcPr>
          <w:p w:rsidR="00933ABB" w:rsidRPr="00AE1FE8" w:rsidRDefault="00933ABB" w:rsidP="002C4307">
            <w:pPr>
              <w:spacing w:after="0" w:line="240" w:lineRule="auto"/>
              <w:jc w:val="center"/>
              <w:rPr>
                <w:rFonts w:ascii="Arial" w:eastAsia="Times New Roman" w:hAnsi="Arial" w:cs="Arial"/>
                <w:color w:val="000000"/>
                <w:sz w:val="16"/>
                <w:szCs w:val="16"/>
                <w:lang w:eastAsia="hr-HR"/>
              </w:rPr>
            </w:pPr>
            <w:r w:rsidRPr="00AE1FE8">
              <w:rPr>
                <w:rFonts w:ascii="Arial" w:eastAsia="Times New Roman" w:hAnsi="Arial" w:cs="Arial"/>
                <w:color w:val="000000"/>
                <w:sz w:val="16"/>
                <w:szCs w:val="16"/>
                <w:lang w:eastAsia="hr-HR"/>
              </w:rPr>
              <w:t>Usluge tekućeg i investicijskog održavanja postrojenja i opreme</w:t>
            </w:r>
          </w:p>
        </w:tc>
        <w:tc>
          <w:tcPr>
            <w:tcW w:w="1360" w:type="dxa"/>
            <w:tcBorders>
              <w:top w:val="single" w:sz="4" w:space="0" w:color="000080"/>
              <w:left w:val="nil"/>
              <w:bottom w:val="single" w:sz="4" w:space="0" w:color="000080"/>
              <w:right w:val="single" w:sz="4" w:space="0" w:color="000080"/>
            </w:tcBorders>
            <w:shd w:val="clear" w:color="000000" w:fill="DCE6F1"/>
            <w:vAlign w:val="center"/>
            <w:hideMark/>
          </w:tcPr>
          <w:p w:rsidR="00933ABB" w:rsidRPr="00AE1FE8" w:rsidRDefault="00933ABB" w:rsidP="002C4307">
            <w:pPr>
              <w:spacing w:after="0" w:line="240" w:lineRule="auto"/>
              <w:jc w:val="center"/>
              <w:rPr>
                <w:rFonts w:ascii="Arial" w:eastAsia="Times New Roman" w:hAnsi="Arial" w:cs="Arial"/>
                <w:color w:val="000000"/>
                <w:sz w:val="16"/>
                <w:szCs w:val="16"/>
                <w:lang w:eastAsia="hr-HR"/>
              </w:rPr>
            </w:pPr>
            <w:r w:rsidRPr="00AE1FE8">
              <w:rPr>
                <w:rFonts w:ascii="Arial" w:eastAsia="Times New Roman" w:hAnsi="Arial" w:cs="Arial"/>
                <w:color w:val="000000"/>
                <w:sz w:val="16"/>
                <w:szCs w:val="16"/>
                <w:lang w:eastAsia="hr-HR"/>
              </w:rPr>
              <w:t>Usluge tekućeg i investicijskog održavanja prijevoznih sredstava</w:t>
            </w:r>
          </w:p>
        </w:tc>
        <w:tc>
          <w:tcPr>
            <w:tcW w:w="1360" w:type="dxa"/>
            <w:tcBorders>
              <w:top w:val="single" w:sz="4" w:space="0" w:color="000080"/>
              <w:left w:val="nil"/>
              <w:bottom w:val="single" w:sz="4" w:space="0" w:color="000080"/>
              <w:right w:val="single" w:sz="4" w:space="0" w:color="000080"/>
            </w:tcBorders>
            <w:shd w:val="clear" w:color="000000" w:fill="DCE6F1"/>
            <w:vAlign w:val="center"/>
            <w:hideMark/>
          </w:tcPr>
          <w:p w:rsidR="00933ABB" w:rsidRPr="00AE1FE8" w:rsidRDefault="00933ABB" w:rsidP="002C4307">
            <w:pPr>
              <w:spacing w:after="0" w:line="240" w:lineRule="auto"/>
              <w:jc w:val="center"/>
              <w:rPr>
                <w:rFonts w:ascii="Arial" w:eastAsia="Times New Roman" w:hAnsi="Arial" w:cs="Arial"/>
                <w:color w:val="000000"/>
                <w:sz w:val="16"/>
                <w:szCs w:val="16"/>
                <w:lang w:eastAsia="hr-HR"/>
              </w:rPr>
            </w:pPr>
            <w:r w:rsidRPr="00AE1FE8">
              <w:rPr>
                <w:rFonts w:ascii="Arial" w:eastAsia="Times New Roman" w:hAnsi="Arial" w:cs="Arial"/>
                <w:color w:val="000000"/>
                <w:sz w:val="16"/>
                <w:szCs w:val="16"/>
                <w:lang w:eastAsia="hr-HR"/>
              </w:rPr>
              <w:t>Ostale usluge tekućeg i investicijskog održavanja</w:t>
            </w:r>
          </w:p>
        </w:tc>
      </w:tr>
      <w:tr w:rsidR="00933ABB" w:rsidRPr="00AE1FE8" w:rsidTr="002C4307">
        <w:trPr>
          <w:trHeight w:val="300"/>
          <w:jc w:val="center"/>
        </w:trPr>
        <w:tc>
          <w:tcPr>
            <w:tcW w:w="1360" w:type="dxa"/>
            <w:tcBorders>
              <w:top w:val="nil"/>
              <w:left w:val="single" w:sz="4" w:space="0" w:color="000080"/>
              <w:bottom w:val="single" w:sz="4" w:space="0" w:color="000080"/>
              <w:right w:val="single" w:sz="4" w:space="0" w:color="000080"/>
            </w:tcBorders>
            <w:shd w:val="clear" w:color="000000" w:fill="DCE6F1"/>
            <w:noWrap/>
            <w:vAlign w:val="center"/>
            <w:hideMark/>
          </w:tcPr>
          <w:p w:rsidR="00933ABB" w:rsidRPr="00AE1FE8" w:rsidRDefault="00933ABB" w:rsidP="00AE1FE8">
            <w:pPr>
              <w:spacing w:after="0" w:line="240" w:lineRule="auto"/>
              <w:ind w:firstLineChars="200" w:firstLine="320"/>
              <w:rPr>
                <w:rFonts w:ascii="Arial" w:eastAsia="Times New Roman" w:hAnsi="Arial" w:cs="Arial"/>
                <w:sz w:val="16"/>
                <w:szCs w:val="16"/>
                <w:lang w:eastAsia="hr-HR"/>
              </w:rPr>
            </w:pPr>
            <w:r w:rsidRPr="00AE1FE8">
              <w:rPr>
                <w:rFonts w:ascii="Arial" w:eastAsia="Times New Roman" w:hAnsi="Arial" w:cs="Arial"/>
                <w:sz w:val="16"/>
                <w:szCs w:val="16"/>
                <w:lang w:eastAsia="hr-HR"/>
              </w:rPr>
              <w:t>- Ukupno</w:t>
            </w:r>
          </w:p>
        </w:tc>
        <w:tc>
          <w:tcPr>
            <w:tcW w:w="1240" w:type="dxa"/>
            <w:tcBorders>
              <w:top w:val="nil"/>
              <w:left w:val="nil"/>
              <w:bottom w:val="single" w:sz="4" w:space="0" w:color="000080"/>
              <w:right w:val="single" w:sz="4" w:space="0" w:color="000080"/>
            </w:tcBorders>
            <w:shd w:val="clear" w:color="000000" w:fill="DCE6F1"/>
            <w:noWrap/>
            <w:vAlign w:val="center"/>
            <w:hideMark/>
          </w:tcPr>
          <w:p w:rsidR="00933ABB" w:rsidRPr="00AE1FE8" w:rsidRDefault="00933ABB" w:rsidP="00933ABB">
            <w:pPr>
              <w:spacing w:after="0" w:line="240" w:lineRule="auto"/>
              <w:jc w:val="right"/>
              <w:rPr>
                <w:rFonts w:ascii="Arial" w:eastAsia="Times New Roman" w:hAnsi="Arial" w:cs="Arial"/>
                <w:color w:val="000000"/>
                <w:sz w:val="16"/>
                <w:szCs w:val="16"/>
                <w:lang w:eastAsia="hr-HR"/>
              </w:rPr>
            </w:pPr>
            <w:r w:rsidRPr="00AE1FE8">
              <w:rPr>
                <w:rFonts w:ascii="Arial" w:eastAsia="Times New Roman" w:hAnsi="Arial" w:cs="Arial"/>
                <w:color w:val="000000"/>
                <w:sz w:val="16"/>
                <w:szCs w:val="16"/>
                <w:lang w:eastAsia="hr-HR"/>
              </w:rPr>
              <w:t>537,890</w:t>
            </w:r>
          </w:p>
        </w:tc>
        <w:tc>
          <w:tcPr>
            <w:tcW w:w="1360" w:type="dxa"/>
            <w:tcBorders>
              <w:top w:val="nil"/>
              <w:left w:val="nil"/>
              <w:bottom w:val="single" w:sz="4" w:space="0" w:color="000080"/>
              <w:right w:val="single" w:sz="4" w:space="0" w:color="000080"/>
            </w:tcBorders>
            <w:shd w:val="clear" w:color="000000" w:fill="DCE6F1"/>
            <w:noWrap/>
            <w:vAlign w:val="center"/>
            <w:hideMark/>
          </w:tcPr>
          <w:p w:rsidR="00933ABB" w:rsidRPr="00AE1FE8" w:rsidRDefault="00933ABB" w:rsidP="00933ABB">
            <w:pPr>
              <w:spacing w:after="0" w:line="240" w:lineRule="auto"/>
              <w:jc w:val="right"/>
              <w:rPr>
                <w:rFonts w:ascii="Arial" w:eastAsia="Times New Roman" w:hAnsi="Arial" w:cs="Arial"/>
                <w:color w:val="000000"/>
                <w:sz w:val="16"/>
                <w:szCs w:val="16"/>
                <w:lang w:eastAsia="hr-HR"/>
              </w:rPr>
            </w:pPr>
            <w:r w:rsidRPr="00AE1FE8">
              <w:rPr>
                <w:rFonts w:ascii="Arial" w:eastAsia="Times New Roman" w:hAnsi="Arial" w:cs="Arial"/>
                <w:color w:val="000000"/>
                <w:sz w:val="16"/>
                <w:szCs w:val="16"/>
                <w:lang w:eastAsia="hr-HR"/>
              </w:rPr>
              <w:t>94,903</w:t>
            </w:r>
          </w:p>
        </w:tc>
        <w:tc>
          <w:tcPr>
            <w:tcW w:w="1360" w:type="dxa"/>
            <w:tcBorders>
              <w:top w:val="nil"/>
              <w:left w:val="nil"/>
              <w:bottom w:val="single" w:sz="4" w:space="0" w:color="000080"/>
              <w:right w:val="single" w:sz="4" w:space="0" w:color="000080"/>
            </w:tcBorders>
            <w:shd w:val="clear" w:color="000000" w:fill="DCE6F1"/>
            <w:noWrap/>
            <w:vAlign w:val="center"/>
            <w:hideMark/>
          </w:tcPr>
          <w:p w:rsidR="00933ABB" w:rsidRPr="00AE1FE8" w:rsidRDefault="00933ABB" w:rsidP="00933ABB">
            <w:pPr>
              <w:spacing w:after="0" w:line="240" w:lineRule="auto"/>
              <w:jc w:val="right"/>
              <w:rPr>
                <w:rFonts w:ascii="Arial" w:eastAsia="Times New Roman" w:hAnsi="Arial" w:cs="Arial"/>
                <w:color w:val="000000"/>
                <w:sz w:val="16"/>
                <w:szCs w:val="16"/>
                <w:lang w:eastAsia="hr-HR"/>
              </w:rPr>
            </w:pPr>
            <w:r w:rsidRPr="00AE1FE8">
              <w:rPr>
                <w:rFonts w:ascii="Arial" w:eastAsia="Times New Roman" w:hAnsi="Arial" w:cs="Arial"/>
                <w:color w:val="000000"/>
                <w:sz w:val="16"/>
                <w:szCs w:val="16"/>
                <w:lang w:eastAsia="hr-HR"/>
              </w:rPr>
              <w:t>291,868</w:t>
            </w:r>
          </w:p>
        </w:tc>
        <w:tc>
          <w:tcPr>
            <w:tcW w:w="1360" w:type="dxa"/>
            <w:tcBorders>
              <w:top w:val="nil"/>
              <w:left w:val="nil"/>
              <w:bottom w:val="single" w:sz="4" w:space="0" w:color="000080"/>
              <w:right w:val="single" w:sz="4" w:space="0" w:color="000080"/>
            </w:tcBorders>
            <w:shd w:val="clear" w:color="000000" w:fill="DCE6F1"/>
            <w:noWrap/>
            <w:vAlign w:val="center"/>
            <w:hideMark/>
          </w:tcPr>
          <w:p w:rsidR="00933ABB" w:rsidRPr="00AE1FE8" w:rsidRDefault="00933ABB" w:rsidP="00933ABB">
            <w:pPr>
              <w:spacing w:after="0" w:line="240" w:lineRule="auto"/>
              <w:jc w:val="right"/>
              <w:rPr>
                <w:rFonts w:ascii="Arial" w:eastAsia="Times New Roman" w:hAnsi="Arial" w:cs="Arial"/>
                <w:color w:val="000000"/>
                <w:sz w:val="16"/>
                <w:szCs w:val="16"/>
                <w:lang w:eastAsia="hr-HR"/>
              </w:rPr>
            </w:pPr>
            <w:r w:rsidRPr="00AE1FE8">
              <w:rPr>
                <w:rFonts w:ascii="Arial" w:eastAsia="Times New Roman" w:hAnsi="Arial" w:cs="Arial"/>
                <w:color w:val="000000"/>
                <w:sz w:val="16"/>
                <w:szCs w:val="16"/>
                <w:lang w:eastAsia="hr-HR"/>
              </w:rPr>
              <w:t>89,754</w:t>
            </w:r>
          </w:p>
        </w:tc>
        <w:tc>
          <w:tcPr>
            <w:tcW w:w="1360" w:type="dxa"/>
            <w:tcBorders>
              <w:top w:val="nil"/>
              <w:left w:val="nil"/>
              <w:bottom w:val="single" w:sz="4" w:space="0" w:color="000080"/>
              <w:right w:val="single" w:sz="4" w:space="0" w:color="000080"/>
            </w:tcBorders>
            <w:shd w:val="clear" w:color="000000" w:fill="DCE6F1"/>
            <w:noWrap/>
            <w:vAlign w:val="center"/>
            <w:hideMark/>
          </w:tcPr>
          <w:p w:rsidR="00933ABB" w:rsidRPr="00AE1FE8" w:rsidRDefault="00933ABB" w:rsidP="00933ABB">
            <w:pPr>
              <w:spacing w:after="0" w:line="240" w:lineRule="auto"/>
              <w:jc w:val="right"/>
              <w:rPr>
                <w:rFonts w:ascii="Arial" w:eastAsia="Times New Roman" w:hAnsi="Arial" w:cs="Arial"/>
                <w:color w:val="000000"/>
                <w:sz w:val="16"/>
                <w:szCs w:val="16"/>
                <w:lang w:eastAsia="hr-HR"/>
              </w:rPr>
            </w:pPr>
            <w:r w:rsidRPr="00AE1FE8">
              <w:rPr>
                <w:rFonts w:ascii="Arial" w:eastAsia="Times New Roman" w:hAnsi="Arial" w:cs="Arial"/>
                <w:color w:val="000000"/>
                <w:sz w:val="16"/>
                <w:szCs w:val="16"/>
                <w:lang w:eastAsia="hr-HR"/>
              </w:rPr>
              <w:t>61,365</w:t>
            </w:r>
          </w:p>
        </w:tc>
      </w:tr>
      <w:tr w:rsidR="00933ABB" w:rsidRPr="00AE1FE8" w:rsidTr="002C4307">
        <w:trPr>
          <w:trHeight w:val="300"/>
          <w:jc w:val="center"/>
        </w:trPr>
        <w:tc>
          <w:tcPr>
            <w:tcW w:w="1360" w:type="dxa"/>
            <w:tcBorders>
              <w:top w:val="nil"/>
              <w:left w:val="single" w:sz="4" w:space="0" w:color="000080"/>
              <w:bottom w:val="single" w:sz="4" w:space="0" w:color="000080"/>
              <w:right w:val="single" w:sz="4" w:space="0" w:color="000080"/>
            </w:tcBorders>
            <w:shd w:val="clear" w:color="auto" w:fill="auto"/>
            <w:noWrap/>
            <w:vAlign w:val="center"/>
            <w:hideMark/>
          </w:tcPr>
          <w:p w:rsidR="00933ABB" w:rsidRPr="00AE1FE8" w:rsidRDefault="00933ABB" w:rsidP="00AE1FE8">
            <w:pPr>
              <w:spacing w:after="0" w:line="240" w:lineRule="auto"/>
              <w:ind w:firstLineChars="200" w:firstLine="320"/>
              <w:rPr>
                <w:rFonts w:ascii="Arial" w:eastAsia="Times New Roman" w:hAnsi="Arial" w:cs="Arial"/>
                <w:sz w:val="16"/>
                <w:szCs w:val="16"/>
                <w:lang w:eastAsia="hr-HR"/>
              </w:rPr>
            </w:pPr>
            <w:r w:rsidRPr="00AE1FE8">
              <w:rPr>
                <w:rFonts w:ascii="Arial" w:eastAsia="Times New Roman" w:hAnsi="Arial" w:cs="Arial"/>
                <w:sz w:val="16"/>
                <w:szCs w:val="16"/>
                <w:lang w:eastAsia="hr-HR"/>
              </w:rPr>
              <w:t>- 1+2+8</w:t>
            </w:r>
          </w:p>
        </w:tc>
        <w:tc>
          <w:tcPr>
            <w:tcW w:w="1240" w:type="dxa"/>
            <w:tcBorders>
              <w:top w:val="nil"/>
              <w:left w:val="nil"/>
              <w:bottom w:val="single" w:sz="4" w:space="0" w:color="000080"/>
              <w:right w:val="single" w:sz="4" w:space="0" w:color="000080"/>
            </w:tcBorders>
            <w:shd w:val="clear" w:color="auto" w:fill="auto"/>
            <w:noWrap/>
            <w:vAlign w:val="center"/>
            <w:hideMark/>
          </w:tcPr>
          <w:p w:rsidR="00933ABB" w:rsidRPr="00AE1FE8" w:rsidRDefault="00933ABB" w:rsidP="00933ABB">
            <w:pPr>
              <w:spacing w:after="0" w:line="240" w:lineRule="auto"/>
              <w:jc w:val="right"/>
              <w:rPr>
                <w:rFonts w:ascii="Arial" w:eastAsia="Times New Roman" w:hAnsi="Arial" w:cs="Arial"/>
                <w:color w:val="000000"/>
                <w:sz w:val="16"/>
                <w:szCs w:val="16"/>
                <w:lang w:eastAsia="hr-HR"/>
              </w:rPr>
            </w:pPr>
            <w:r w:rsidRPr="00AE1FE8">
              <w:rPr>
                <w:rFonts w:ascii="Arial" w:eastAsia="Times New Roman" w:hAnsi="Arial" w:cs="Arial"/>
                <w:color w:val="000000"/>
                <w:sz w:val="16"/>
                <w:szCs w:val="16"/>
                <w:lang w:eastAsia="hr-HR"/>
              </w:rPr>
              <w:t>519,465</w:t>
            </w:r>
          </w:p>
        </w:tc>
        <w:tc>
          <w:tcPr>
            <w:tcW w:w="1360" w:type="dxa"/>
            <w:tcBorders>
              <w:top w:val="nil"/>
              <w:left w:val="nil"/>
              <w:bottom w:val="single" w:sz="4" w:space="0" w:color="000080"/>
              <w:right w:val="single" w:sz="4" w:space="0" w:color="000080"/>
            </w:tcBorders>
            <w:shd w:val="clear" w:color="auto" w:fill="auto"/>
            <w:noWrap/>
            <w:vAlign w:val="center"/>
            <w:hideMark/>
          </w:tcPr>
          <w:p w:rsidR="00933ABB" w:rsidRPr="00AE1FE8" w:rsidRDefault="00933ABB" w:rsidP="00933ABB">
            <w:pPr>
              <w:spacing w:after="0" w:line="240" w:lineRule="auto"/>
              <w:jc w:val="right"/>
              <w:rPr>
                <w:rFonts w:ascii="Arial" w:eastAsia="Times New Roman" w:hAnsi="Arial" w:cs="Arial"/>
                <w:color w:val="000000"/>
                <w:sz w:val="16"/>
                <w:szCs w:val="16"/>
                <w:lang w:eastAsia="hr-HR"/>
              </w:rPr>
            </w:pPr>
            <w:r w:rsidRPr="00AE1FE8">
              <w:rPr>
                <w:rFonts w:ascii="Arial" w:eastAsia="Times New Roman" w:hAnsi="Arial" w:cs="Arial"/>
                <w:color w:val="000000"/>
                <w:sz w:val="16"/>
                <w:szCs w:val="16"/>
                <w:lang w:eastAsia="hr-HR"/>
              </w:rPr>
              <w:t>89,820</w:t>
            </w:r>
          </w:p>
        </w:tc>
        <w:tc>
          <w:tcPr>
            <w:tcW w:w="1360" w:type="dxa"/>
            <w:tcBorders>
              <w:top w:val="nil"/>
              <w:left w:val="nil"/>
              <w:bottom w:val="single" w:sz="4" w:space="0" w:color="000080"/>
              <w:right w:val="single" w:sz="4" w:space="0" w:color="000080"/>
            </w:tcBorders>
            <w:shd w:val="clear" w:color="auto" w:fill="auto"/>
            <w:noWrap/>
            <w:vAlign w:val="center"/>
            <w:hideMark/>
          </w:tcPr>
          <w:p w:rsidR="00933ABB" w:rsidRPr="00AE1FE8" w:rsidRDefault="00933ABB" w:rsidP="00933ABB">
            <w:pPr>
              <w:spacing w:after="0" w:line="240" w:lineRule="auto"/>
              <w:jc w:val="right"/>
              <w:rPr>
                <w:rFonts w:ascii="Arial" w:eastAsia="Times New Roman" w:hAnsi="Arial" w:cs="Arial"/>
                <w:color w:val="000000"/>
                <w:sz w:val="16"/>
                <w:szCs w:val="16"/>
                <w:lang w:eastAsia="hr-HR"/>
              </w:rPr>
            </w:pPr>
            <w:r w:rsidRPr="00AE1FE8">
              <w:rPr>
                <w:rFonts w:ascii="Arial" w:eastAsia="Times New Roman" w:hAnsi="Arial" w:cs="Arial"/>
                <w:color w:val="000000"/>
                <w:sz w:val="16"/>
                <w:szCs w:val="16"/>
                <w:lang w:eastAsia="hr-HR"/>
              </w:rPr>
              <w:t>281,616</w:t>
            </w:r>
          </w:p>
        </w:tc>
        <w:tc>
          <w:tcPr>
            <w:tcW w:w="1360" w:type="dxa"/>
            <w:tcBorders>
              <w:top w:val="nil"/>
              <w:left w:val="nil"/>
              <w:bottom w:val="single" w:sz="4" w:space="0" w:color="000080"/>
              <w:right w:val="single" w:sz="4" w:space="0" w:color="000080"/>
            </w:tcBorders>
            <w:shd w:val="clear" w:color="auto" w:fill="auto"/>
            <w:noWrap/>
            <w:vAlign w:val="center"/>
            <w:hideMark/>
          </w:tcPr>
          <w:p w:rsidR="00933ABB" w:rsidRPr="00AE1FE8" w:rsidRDefault="00933ABB" w:rsidP="00933ABB">
            <w:pPr>
              <w:spacing w:after="0" w:line="240" w:lineRule="auto"/>
              <w:jc w:val="right"/>
              <w:rPr>
                <w:rFonts w:ascii="Arial" w:eastAsia="Times New Roman" w:hAnsi="Arial" w:cs="Arial"/>
                <w:color w:val="000000"/>
                <w:sz w:val="16"/>
                <w:szCs w:val="16"/>
                <w:lang w:eastAsia="hr-HR"/>
              </w:rPr>
            </w:pPr>
            <w:r w:rsidRPr="00AE1FE8">
              <w:rPr>
                <w:rFonts w:ascii="Arial" w:eastAsia="Times New Roman" w:hAnsi="Arial" w:cs="Arial"/>
                <w:color w:val="000000"/>
                <w:sz w:val="16"/>
                <w:szCs w:val="16"/>
                <w:lang w:eastAsia="hr-HR"/>
              </w:rPr>
              <w:t>88,280</w:t>
            </w:r>
          </w:p>
        </w:tc>
        <w:tc>
          <w:tcPr>
            <w:tcW w:w="1360" w:type="dxa"/>
            <w:tcBorders>
              <w:top w:val="nil"/>
              <w:left w:val="nil"/>
              <w:bottom w:val="single" w:sz="4" w:space="0" w:color="000080"/>
              <w:right w:val="single" w:sz="4" w:space="0" w:color="000080"/>
            </w:tcBorders>
            <w:shd w:val="clear" w:color="auto" w:fill="auto"/>
            <w:noWrap/>
            <w:vAlign w:val="center"/>
            <w:hideMark/>
          </w:tcPr>
          <w:p w:rsidR="00933ABB" w:rsidRPr="00AE1FE8" w:rsidRDefault="00933ABB" w:rsidP="00933ABB">
            <w:pPr>
              <w:spacing w:after="0" w:line="240" w:lineRule="auto"/>
              <w:jc w:val="right"/>
              <w:rPr>
                <w:rFonts w:ascii="Arial" w:eastAsia="Times New Roman" w:hAnsi="Arial" w:cs="Arial"/>
                <w:color w:val="000000"/>
                <w:sz w:val="16"/>
                <w:szCs w:val="16"/>
                <w:lang w:eastAsia="hr-HR"/>
              </w:rPr>
            </w:pPr>
            <w:r w:rsidRPr="00AE1FE8">
              <w:rPr>
                <w:rFonts w:ascii="Arial" w:eastAsia="Times New Roman" w:hAnsi="Arial" w:cs="Arial"/>
                <w:color w:val="000000"/>
                <w:sz w:val="16"/>
                <w:szCs w:val="16"/>
                <w:lang w:eastAsia="hr-HR"/>
              </w:rPr>
              <w:t>59,749</w:t>
            </w:r>
          </w:p>
        </w:tc>
      </w:tr>
      <w:tr w:rsidR="00933ABB" w:rsidRPr="00AE1FE8" w:rsidTr="002C4307">
        <w:trPr>
          <w:trHeight w:val="300"/>
          <w:jc w:val="center"/>
        </w:trPr>
        <w:tc>
          <w:tcPr>
            <w:tcW w:w="1360" w:type="dxa"/>
            <w:tcBorders>
              <w:top w:val="nil"/>
              <w:left w:val="single" w:sz="4" w:space="0" w:color="000080"/>
              <w:bottom w:val="single" w:sz="4" w:space="0" w:color="000080"/>
              <w:right w:val="single" w:sz="4" w:space="0" w:color="000080"/>
            </w:tcBorders>
            <w:shd w:val="clear" w:color="auto" w:fill="auto"/>
            <w:noWrap/>
            <w:vAlign w:val="center"/>
            <w:hideMark/>
          </w:tcPr>
          <w:p w:rsidR="00933ABB" w:rsidRPr="00AE1FE8" w:rsidRDefault="00933ABB" w:rsidP="00AE1FE8">
            <w:pPr>
              <w:spacing w:after="0" w:line="240" w:lineRule="auto"/>
              <w:ind w:firstLineChars="200" w:firstLine="320"/>
              <w:rPr>
                <w:rFonts w:ascii="Arial" w:eastAsia="Times New Roman" w:hAnsi="Arial" w:cs="Arial"/>
                <w:sz w:val="16"/>
                <w:szCs w:val="16"/>
                <w:lang w:eastAsia="hr-HR"/>
              </w:rPr>
            </w:pPr>
            <w:r w:rsidRPr="00AE1FE8">
              <w:rPr>
                <w:rFonts w:ascii="Arial" w:eastAsia="Times New Roman" w:hAnsi="Arial" w:cs="Arial"/>
                <w:sz w:val="16"/>
                <w:szCs w:val="16"/>
                <w:lang w:eastAsia="hr-HR"/>
              </w:rPr>
              <w:t>- ostali izvori</w:t>
            </w:r>
          </w:p>
        </w:tc>
        <w:tc>
          <w:tcPr>
            <w:tcW w:w="1240" w:type="dxa"/>
            <w:tcBorders>
              <w:top w:val="nil"/>
              <w:left w:val="nil"/>
              <w:bottom w:val="single" w:sz="4" w:space="0" w:color="000080"/>
              <w:right w:val="single" w:sz="4" w:space="0" w:color="000080"/>
            </w:tcBorders>
            <w:shd w:val="clear" w:color="auto" w:fill="auto"/>
            <w:noWrap/>
            <w:vAlign w:val="center"/>
            <w:hideMark/>
          </w:tcPr>
          <w:p w:rsidR="00933ABB" w:rsidRPr="00AE1FE8" w:rsidRDefault="00933ABB" w:rsidP="00933ABB">
            <w:pPr>
              <w:spacing w:after="0" w:line="240" w:lineRule="auto"/>
              <w:jc w:val="right"/>
              <w:rPr>
                <w:rFonts w:ascii="Arial" w:eastAsia="Times New Roman" w:hAnsi="Arial" w:cs="Arial"/>
                <w:color w:val="000000"/>
                <w:sz w:val="16"/>
                <w:szCs w:val="16"/>
                <w:lang w:eastAsia="hr-HR"/>
              </w:rPr>
            </w:pPr>
            <w:r w:rsidRPr="00AE1FE8">
              <w:rPr>
                <w:rFonts w:ascii="Arial" w:eastAsia="Times New Roman" w:hAnsi="Arial" w:cs="Arial"/>
                <w:color w:val="000000"/>
                <w:sz w:val="16"/>
                <w:szCs w:val="16"/>
                <w:lang w:eastAsia="hr-HR"/>
              </w:rPr>
              <w:t>18,425</w:t>
            </w:r>
          </w:p>
        </w:tc>
        <w:tc>
          <w:tcPr>
            <w:tcW w:w="1360" w:type="dxa"/>
            <w:tcBorders>
              <w:top w:val="nil"/>
              <w:left w:val="nil"/>
              <w:bottom w:val="single" w:sz="4" w:space="0" w:color="000080"/>
              <w:right w:val="single" w:sz="4" w:space="0" w:color="000080"/>
            </w:tcBorders>
            <w:shd w:val="clear" w:color="auto" w:fill="auto"/>
            <w:noWrap/>
            <w:vAlign w:val="center"/>
            <w:hideMark/>
          </w:tcPr>
          <w:p w:rsidR="00933ABB" w:rsidRPr="00AE1FE8" w:rsidRDefault="00933ABB" w:rsidP="00933ABB">
            <w:pPr>
              <w:spacing w:after="0" w:line="240" w:lineRule="auto"/>
              <w:jc w:val="right"/>
              <w:rPr>
                <w:rFonts w:ascii="Arial" w:eastAsia="Times New Roman" w:hAnsi="Arial" w:cs="Arial"/>
                <w:color w:val="000000"/>
                <w:sz w:val="16"/>
                <w:szCs w:val="16"/>
                <w:lang w:eastAsia="hr-HR"/>
              </w:rPr>
            </w:pPr>
            <w:r w:rsidRPr="00AE1FE8">
              <w:rPr>
                <w:rFonts w:ascii="Arial" w:eastAsia="Times New Roman" w:hAnsi="Arial" w:cs="Arial"/>
                <w:color w:val="000000"/>
                <w:sz w:val="16"/>
                <w:szCs w:val="16"/>
                <w:lang w:eastAsia="hr-HR"/>
              </w:rPr>
              <w:t>5,083</w:t>
            </w:r>
          </w:p>
        </w:tc>
        <w:tc>
          <w:tcPr>
            <w:tcW w:w="1360" w:type="dxa"/>
            <w:tcBorders>
              <w:top w:val="nil"/>
              <w:left w:val="nil"/>
              <w:bottom w:val="single" w:sz="4" w:space="0" w:color="000080"/>
              <w:right w:val="single" w:sz="4" w:space="0" w:color="000080"/>
            </w:tcBorders>
            <w:shd w:val="clear" w:color="auto" w:fill="auto"/>
            <w:noWrap/>
            <w:vAlign w:val="center"/>
            <w:hideMark/>
          </w:tcPr>
          <w:p w:rsidR="00933ABB" w:rsidRPr="00AE1FE8" w:rsidRDefault="00933ABB" w:rsidP="00933ABB">
            <w:pPr>
              <w:spacing w:after="0" w:line="240" w:lineRule="auto"/>
              <w:jc w:val="right"/>
              <w:rPr>
                <w:rFonts w:ascii="Arial" w:eastAsia="Times New Roman" w:hAnsi="Arial" w:cs="Arial"/>
                <w:color w:val="000000"/>
                <w:sz w:val="16"/>
                <w:szCs w:val="16"/>
                <w:lang w:eastAsia="hr-HR"/>
              </w:rPr>
            </w:pPr>
            <w:r w:rsidRPr="00AE1FE8">
              <w:rPr>
                <w:rFonts w:ascii="Arial" w:eastAsia="Times New Roman" w:hAnsi="Arial" w:cs="Arial"/>
                <w:color w:val="000000"/>
                <w:sz w:val="16"/>
                <w:szCs w:val="16"/>
                <w:lang w:eastAsia="hr-HR"/>
              </w:rPr>
              <w:t>10,252</w:t>
            </w:r>
          </w:p>
        </w:tc>
        <w:tc>
          <w:tcPr>
            <w:tcW w:w="1360" w:type="dxa"/>
            <w:tcBorders>
              <w:top w:val="nil"/>
              <w:left w:val="nil"/>
              <w:bottom w:val="single" w:sz="4" w:space="0" w:color="000080"/>
              <w:right w:val="single" w:sz="4" w:space="0" w:color="000080"/>
            </w:tcBorders>
            <w:shd w:val="clear" w:color="auto" w:fill="auto"/>
            <w:noWrap/>
            <w:vAlign w:val="center"/>
            <w:hideMark/>
          </w:tcPr>
          <w:p w:rsidR="00933ABB" w:rsidRPr="00AE1FE8" w:rsidRDefault="00933ABB" w:rsidP="00933ABB">
            <w:pPr>
              <w:spacing w:after="0" w:line="240" w:lineRule="auto"/>
              <w:jc w:val="right"/>
              <w:rPr>
                <w:rFonts w:ascii="Arial" w:eastAsia="Times New Roman" w:hAnsi="Arial" w:cs="Arial"/>
                <w:color w:val="000000"/>
                <w:sz w:val="16"/>
                <w:szCs w:val="16"/>
                <w:lang w:eastAsia="hr-HR"/>
              </w:rPr>
            </w:pPr>
            <w:r w:rsidRPr="00AE1FE8">
              <w:rPr>
                <w:rFonts w:ascii="Arial" w:eastAsia="Times New Roman" w:hAnsi="Arial" w:cs="Arial"/>
                <w:color w:val="000000"/>
                <w:sz w:val="16"/>
                <w:szCs w:val="16"/>
                <w:lang w:eastAsia="hr-HR"/>
              </w:rPr>
              <w:t>1,474</w:t>
            </w:r>
          </w:p>
        </w:tc>
        <w:tc>
          <w:tcPr>
            <w:tcW w:w="1360" w:type="dxa"/>
            <w:tcBorders>
              <w:top w:val="nil"/>
              <w:left w:val="nil"/>
              <w:bottom w:val="single" w:sz="4" w:space="0" w:color="000080"/>
              <w:right w:val="single" w:sz="4" w:space="0" w:color="000080"/>
            </w:tcBorders>
            <w:shd w:val="clear" w:color="auto" w:fill="auto"/>
            <w:noWrap/>
            <w:vAlign w:val="center"/>
            <w:hideMark/>
          </w:tcPr>
          <w:p w:rsidR="00933ABB" w:rsidRPr="00AE1FE8" w:rsidRDefault="00933ABB" w:rsidP="00933ABB">
            <w:pPr>
              <w:spacing w:after="0" w:line="240" w:lineRule="auto"/>
              <w:jc w:val="right"/>
              <w:rPr>
                <w:rFonts w:ascii="Arial" w:eastAsia="Times New Roman" w:hAnsi="Arial" w:cs="Arial"/>
                <w:color w:val="000000"/>
                <w:sz w:val="16"/>
                <w:szCs w:val="16"/>
                <w:lang w:eastAsia="hr-HR"/>
              </w:rPr>
            </w:pPr>
            <w:r w:rsidRPr="00AE1FE8">
              <w:rPr>
                <w:rFonts w:ascii="Arial" w:eastAsia="Times New Roman" w:hAnsi="Arial" w:cs="Arial"/>
                <w:color w:val="000000"/>
                <w:sz w:val="16"/>
                <w:szCs w:val="16"/>
                <w:lang w:eastAsia="hr-HR"/>
              </w:rPr>
              <w:t>1,616</w:t>
            </w:r>
          </w:p>
        </w:tc>
      </w:tr>
    </w:tbl>
    <w:p w:rsidR="004859E1" w:rsidRPr="00FA7F54" w:rsidRDefault="004859E1" w:rsidP="006C51D7">
      <w:pPr>
        <w:spacing w:after="0" w:line="240" w:lineRule="auto"/>
        <w:rPr>
          <w:rFonts w:ascii="Times New Roman" w:hAnsi="Times New Roman" w:cs="Times New Roman"/>
        </w:rPr>
      </w:pPr>
    </w:p>
    <w:p w:rsidR="00140288" w:rsidRPr="00722BF8" w:rsidRDefault="00140288" w:rsidP="00140288">
      <w:pPr>
        <w:shd w:val="clear" w:color="auto" w:fill="FFFFFF"/>
        <w:spacing w:after="0" w:line="240" w:lineRule="auto"/>
        <w:ind w:firstLine="360"/>
        <w:jc w:val="both"/>
        <w:rPr>
          <w:rFonts w:ascii="Times New Roman" w:hAnsi="Times New Roman" w:cs="Times New Roman"/>
          <w:u w:val="single"/>
        </w:rPr>
      </w:pPr>
      <w:r w:rsidRPr="00722BF8">
        <w:rPr>
          <w:rFonts w:ascii="Times New Roman" w:hAnsi="Times New Roman" w:cs="Times New Roman"/>
          <w:u w:val="single"/>
        </w:rPr>
        <w:t>Mjere za smanjenje odnosno optimizaciju rashoda:</w:t>
      </w:r>
    </w:p>
    <w:p w:rsidR="00292F0B" w:rsidRPr="00722BF8" w:rsidRDefault="00292F0B" w:rsidP="00922D60">
      <w:pPr>
        <w:pStyle w:val="Odlomakpopisa"/>
        <w:numPr>
          <w:ilvl w:val="0"/>
          <w:numId w:val="12"/>
        </w:numPr>
        <w:shd w:val="clear" w:color="auto" w:fill="FFFFFF"/>
        <w:spacing w:after="0" w:line="240" w:lineRule="auto"/>
        <w:jc w:val="both"/>
        <w:rPr>
          <w:rFonts w:ascii="Times New Roman" w:hAnsi="Times New Roman" w:cs="Times New Roman"/>
        </w:rPr>
      </w:pPr>
      <w:r w:rsidRPr="00722BF8">
        <w:rPr>
          <w:rFonts w:ascii="Times New Roman" w:hAnsi="Times New Roman" w:cs="Times New Roman"/>
        </w:rPr>
        <w:t xml:space="preserve">Optimizacija/standardizacija proizvoda i usluga i ostvarivanja ušteda u javnoj potrošnji  kroz učinkoviti sustav središnje javne nabave </w:t>
      </w:r>
    </w:p>
    <w:p w:rsidR="00140288" w:rsidRPr="00FA7F54" w:rsidRDefault="002D4435" w:rsidP="00EF0288">
      <w:pPr>
        <w:shd w:val="clear" w:color="auto" w:fill="FFFFFF"/>
        <w:spacing w:after="0" w:line="240" w:lineRule="auto"/>
        <w:jc w:val="both"/>
        <w:rPr>
          <w:rFonts w:ascii="Times New Roman" w:hAnsi="Times New Roman" w:cs="Times New Roman"/>
        </w:rPr>
      </w:pPr>
      <w:r w:rsidRPr="00722BF8">
        <w:rPr>
          <w:rFonts w:ascii="Times New Roman" w:hAnsi="Times New Roman" w:cs="Times New Roman"/>
        </w:rPr>
        <w:t xml:space="preserve">Sukladno Uredbi o unutarnjem ustrojstvu Državnog ureda obveznici središnje javne nabave su u pravilu 34 tijela državne uprave za 17 nabavnih kategorija od kojih se jedna odnosi na </w:t>
      </w:r>
      <w:r w:rsidR="00207FE8" w:rsidRPr="00722BF8">
        <w:rPr>
          <w:rFonts w:ascii="Times New Roman" w:hAnsi="Times New Roman" w:cs="Times New Roman"/>
          <w:b/>
        </w:rPr>
        <w:t>tekuće</w:t>
      </w:r>
      <w:r w:rsidR="00093A48" w:rsidRPr="00722BF8">
        <w:rPr>
          <w:rFonts w:ascii="Times New Roman" w:hAnsi="Times New Roman" w:cs="Times New Roman"/>
          <w:b/>
        </w:rPr>
        <w:t xml:space="preserve"> održavanje</w:t>
      </w:r>
      <w:r w:rsidR="00207FE8" w:rsidRPr="00722BF8">
        <w:rPr>
          <w:rFonts w:ascii="Times New Roman" w:hAnsi="Times New Roman" w:cs="Times New Roman"/>
          <w:b/>
        </w:rPr>
        <w:t xml:space="preserve"> objekata</w:t>
      </w:r>
      <w:r w:rsidR="00207FE8" w:rsidRPr="00722BF8">
        <w:rPr>
          <w:rFonts w:ascii="Times New Roman" w:hAnsi="Times New Roman" w:cs="Times New Roman"/>
        </w:rPr>
        <w:t xml:space="preserve"> u sjedištu obveznika središnje javne nabave</w:t>
      </w:r>
      <w:r w:rsidR="00412DE3" w:rsidRPr="00722BF8">
        <w:rPr>
          <w:rFonts w:ascii="Times New Roman" w:hAnsi="Times New Roman" w:cs="Times New Roman"/>
        </w:rPr>
        <w:t>. U prvom dijelu 2016. godini planirano je provesti postupak za tekuće održavanje objekata.</w:t>
      </w:r>
    </w:p>
    <w:p w:rsidR="00D55040" w:rsidRPr="00FA7F54" w:rsidRDefault="00D55040" w:rsidP="00D55040">
      <w:pPr>
        <w:pStyle w:val="Naslov2"/>
        <w:rPr>
          <w:rFonts w:ascii="Times New Roman" w:hAnsi="Times New Roman" w:cs="Times New Roman"/>
          <w:color w:val="auto"/>
          <w:sz w:val="22"/>
          <w:szCs w:val="22"/>
        </w:rPr>
      </w:pPr>
      <w:bookmarkStart w:id="77" w:name="_Toc434411190"/>
      <w:bookmarkStart w:id="78" w:name="_Toc436402333"/>
      <w:r w:rsidRPr="00FA7F54">
        <w:rPr>
          <w:rFonts w:ascii="Times New Roman" w:hAnsi="Times New Roman" w:cs="Times New Roman"/>
          <w:color w:val="auto"/>
          <w:sz w:val="22"/>
          <w:szCs w:val="22"/>
        </w:rPr>
        <w:t xml:space="preserve">USLUGE </w:t>
      </w:r>
      <w:r w:rsidR="00EE4566" w:rsidRPr="00FA7F54">
        <w:rPr>
          <w:rFonts w:ascii="Times New Roman" w:hAnsi="Times New Roman" w:cs="Times New Roman"/>
          <w:color w:val="auto"/>
          <w:sz w:val="22"/>
          <w:szCs w:val="22"/>
        </w:rPr>
        <w:t>PROMIDŽBE I INFORMIRANJA</w:t>
      </w:r>
      <w:r w:rsidRPr="00FA7F54">
        <w:rPr>
          <w:rFonts w:ascii="Times New Roman" w:hAnsi="Times New Roman" w:cs="Times New Roman"/>
          <w:color w:val="auto"/>
          <w:sz w:val="22"/>
          <w:szCs w:val="22"/>
        </w:rPr>
        <w:t xml:space="preserve"> (32</w:t>
      </w:r>
      <w:r w:rsidR="00EE4566" w:rsidRPr="00FA7F54">
        <w:rPr>
          <w:rFonts w:ascii="Times New Roman" w:hAnsi="Times New Roman" w:cs="Times New Roman"/>
          <w:color w:val="auto"/>
          <w:sz w:val="22"/>
          <w:szCs w:val="22"/>
        </w:rPr>
        <w:t>33</w:t>
      </w:r>
      <w:r w:rsidRPr="00FA7F54">
        <w:rPr>
          <w:rFonts w:ascii="Times New Roman" w:hAnsi="Times New Roman" w:cs="Times New Roman"/>
          <w:color w:val="auto"/>
          <w:sz w:val="22"/>
          <w:szCs w:val="22"/>
        </w:rPr>
        <w:t>)</w:t>
      </w:r>
      <w:bookmarkEnd w:id="77"/>
      <w:bookmarkEnd w:id="78"/>
    </w:p>
    <w:p w:rsidR="008A00B8" w:rsidRPr="00FA7F54" w:rsidRDefault="008A00B8" w:rsidP="008A00B8">
      <w:pPr>
        <w:spacing w:line="240" w:lineRule="auto"/>
        <w:jc w:val="both"/>
        <w:rPr>
          <w:rFonts w:ascii="Times New Roman" w:hAnsi="Times New Roman" w:cs="Times New Roman"/>
        </w:rPr>
      </w:pPr>
      <w:r w:rsidRPr="00FA7F54">
        <w:rPr>
          <w:rFonts w:ascii="Times New Roman" w:hAnsi="Times New Roman" w:cs="Times New Roman"/>
        </w:rPr>
        <w:t xml:space="preserve">Prema iskazanim podacima u financijskim izvještajima rashodi za usluge promidžbe i informiranja u </w:t>
      </w:r>
      <w:r w:rsidR="0061314B" w:rsidRPr="00FA7F54">
        <w:rPr>
          <w:rFonts w:ascii="Times New Roman" w:hAnsi="Times New Roman" w:cs="Times New Roman"/>
        </w:rPr>
        <w:t>2013. godini iznosili su 118,4</w:t>
      </w:r>
      <w:r w:rsidRPr="00FA7F54">
        <w:rPr>
          <w:rFonts w:ascii="Times New Roman" w:hAnsi="Times New Roman" w:cs="Times New Roman"/>
        </w:rPr>
        <w:t xml:space="preserve"> mil</w:t>
      </w:r>
      <w:r w:rsidR="0061314B" w:rsidRPr="00FA7F54">
        <w:rPr>
          <w:rFonts w:ascii="Times New Roman" w:hAnsi="Times New Roman" w:cs="Times New Roman"/>
        </w:rPr>
        <w:t>. kuna, a u 2014. godini 112,1</w:t>
      </w:r>
      <w:r w:rsidRPr="00FA7F54">
        <w:rPr>
          <w:rFonts w:ascii="Times New Roman" w:hAnsi="Times New Roman" w:cs="Times New Roman"/>
        </w:rPr>
        <w:t xml:space="preserve"> mil. kuna. U državnom proračunu za 2015. godinu planirano je </w:t>
      </w:r>
      <w:r w:rsidR="0061314B" w:rsidRPr="00FA7F54">
        <w:rPr>
          <w:rFonts w:ascii="Times New Roman" w:hAnsi="Times New Roman" w:cs="Times New Roman"/>
        </w:rPr>
        <w:t>129,7</w:t>
      </w:r>
      <w:r w:rsidRPr="00FA7F54">
        <w:rPr>
          <w:rFonts w:ascii="Times New Roman" w:hAnsi="Times New Roman" w:cs="Times New Roman"/>
        </w:rPr>
        <w:t xml:space="preserve"> mil. kuna navedenih rashoda od čega se </w:t>
      </w:r>
      <w:r w:rsidR="0061314B" w:rsidRPr="00FA7F54">
        <w:rPr>
          <w:rFonts w:ascii="Times New Roman" w:hAnsi="Times New Roman" w:cs="Times New Roman"/>
        </w:rPr>
        <w:t>85,5</w:t>
      </w:r>
      <w:r w:rsidRPr="00FA7F54">
        <w:rPr>
          <w:rFonts w:ascii="Times New Roman" w:hAnsi="Times New Roman" w:cs="Times New Roman"/>
        </w:rPr>
        <w:t xml:space="preserve"> mil. </w:t>
      </w:r>
      <w:r w:rsidR="007867A5">
        <w:rPr>
          <w:rFonts w:ascii="Times New Roman" w:hAnsi="Times New Roman" w:cs="Times New Roman"/>
        </w:rPr>
        <w:t xml:space="preserve">kuna </w:t>
      </w:r>
      <w:r w:rsidRPr="00FA7F54">
        <w:rPr>
          <w:rFonts w:ascii="Times New Roman" w:hAnsi="Times New Roman" w:cs="Times New Roman"/>
        </w:rPr>
        <w:t>financira iz izvora u limitu.</w:t>
      </w:r>
    </w:p>
    <w:p w:rsidR="008A00B8" w:rsidRPr="00FA7F54" w:rsidRDefault="008A00B8" w:rsidP="00A546C3">
      <w:pPr>
        <w:spacing w:line="240" w:lineRule="auto"/>
        <w:jc w:val="both"/>
        <w:rPr>
          <w:rFonts w:ascii="Times New Roman" w:hAnsi="Times New Roman" w:cs="Times New Roman"/>
        </w:rPr>
      </w:pPr>
      <w:r w:rsidRPr="00FA7F54">
        <w:rPr>
          <w:rFonts w:ascii="Times New Roman" w:hAnsi="Times New Roman" w:cs="Times New Roman"/>
        </w:rPr>
        <w:t>Najveći dio rashoda odnosi se na tijela izvršne vlasti (</w:t>
      </w:r>
      <w:r w:rsidR="002C6FBE" w:rsidRPr="00FA7F54">
        <w:rPr>
          <w:rFonts w:ascii="Times New Roman" w:hAnsi="Times New Roman" w:cs="Times New Roman"/>
        </w:rPr>
        <w:t>Ministarstvo znanosti, obrazovanja i sporta, Ministarstvo kulture, MUP</w:t>
      </w:r>
      <w:r w:rsidRPr="00FA7F54">
        <w:rPr>
          <w:rFonts w:ascii="Times New Roman" w:hAnsi="Times New Roman" w:cs="Times New Roman"/>
        </w:rPr>
        <w:t>).</w:t>
      </w:r>
      <w:r w:rsidR="007D4144">
        <w:rPr>
          <w:rFonts w:ascii="Times New Roman" w:hAnsi="Times New Roman" w:cs="Times New Roman"/>
        </w:rPr>
        <w:t xml:space="preserve"> Povećani troškovi usluga promidžbe i informiranja u odnosu na prosječni mjesečni trošak korisnika po zaposleniku razvidni su kod agencija, Hrvatskog sabora, ostalih državnih tijela, tijela izvršne vlasti i Ureda predsjednika, a koji se više od 50</w:t>
      </w:r>
      <w:r w:rsidR="007867A5">
        <w:rPr>
          <w:rFonts w:ascii="Times New Roman" w:hAnsi="Times New Roman" w:cs="Times New Roman"/>
        </w:rPr>
        <w:t>%</w:t>
      </w:r>
      <w:r w:rsidR="007D4144">
        <w:rPr>
          <w:rFonts w:ascii="Times New Roman" w:hAnsi="Times New Roman" w:cs="Times New Roman"/>
        </w:rPr>
        <w:t xml:space="preserve"> financiraju iz proračuna.</w:t>
      </w:r>
    </w:p>
    <w:p w:rsidR="009835A2" w:rsidRPr="007867A5" w:rsidRDefault="009835A2" w:rsidP="006B7B79">
      <w:pPr>
        <w:pStyle w:val="Opisslike"/>
        <w:spacing w:after="0"/>
        <w:jc w:val="both"/>
        <w:rPr>
          <w:rFonts w:ascii="Times New Roman" w:hAnsi="Times New Roman" w:cs="Times New Roman"/>
          <w:sz w:val="20"/>
          <w:szCs w:val="20"/>
        </w:rPr>
      </w:pPr>
      <w:bookmarkStart w:id="79" w:name="_Toc436402283"/>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36</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DF0E84" w:rsidRPr="006B7B79">
        <w:rPr>
          <w:rFonts w:ascii="Times New Roman" w:hAnsi="Times New Roman" w:cs="Times New Roman"/>
          <w:sz w:val="20"/>
          <w:szCs w:val="20"/>
        </w:rPr>
        <w:t xml:space="preserve"> Usluge promidžbe i informiranja prema podacima iskazanim u financijskim izvještajima proračunskih i izvanproračunskih korisnika za 2013. i 2014. godinu te planu Državnog proračuna za 2015. godinu</w:t>
      </w:r>
      <w:bookmarkEnd w:id="79"/>
    </w:p>
    <w:p w:rsidR="00D55040" w:rsidRPr="00FA7F54" w:rsidRDefault="00692A52" w:rsidP="006B7B79">
      <w:pPr>
        <w:spacing w:line="240" w:lineRule="auto"/>
        <w:jc w:val="both"/>
        <w:rPr>
          <w:rFonts w:ascii="Times New Roman" w:hAnsi="Times New Roman" w:cs="Times New Roman"/>
        </w:rPr>
      </w:pPr>
      <w:r w:rsidRPr="00692A52">
        <w:rPr>
          <w:noProof/>
          <w:lang w:eastAsia="hr-HR"/>
        </w:rPr>
        <w:drawing>
          <wp:inline distT="0" distB="0" distL="0" distR="0" wp14:anchorId="75B33E7E" wp14:editId="78716F64">
            <wp:extent cx="5760720" cy="3253740"/>
            <wp:effectExtent l="0" t="0" r="0" b="381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3253740"/>
                    </a:xfrm>
                    <a:prstGeom prst="rect">
                      <a:avLst/>
                    </a:prstGeom>
                    <a:noFill/>
                    <a:ln>
                      <a:noFill/>
                    </a:ln>
                  </pic:spPr>
                </pic:pic>
              </a:graphicData>
            </a:graphic>
          </wp:inline>
        </w:drawing>
      </w:r>
    </w:p>
    <w:p w:rsidR="00E933E0" w:rsidRPr="00FA7F54" w:rsidRDefault="00CB0C21" w:rsidP="00A546C3">
      <w:pPr>
        <w:spacing w:line="240" w:lineRule="auto"/>
        <w:jc w:val="both"/>
        <w:rPr>
          <w:rFonts w:ascii="Times New Roman" w:hAnsi="Times New Roman" w:cs="Times New Roman"/>
        </w:rPr>
      </w:pPr>
      <w:r w:rsidRPr="00FA7F54">
        <w:rPr>
          <w:rFonts w:ascii="Times New Roman" w:hAnsi="Times New Roman" w:cs="Times New Roman"/>
        </w:rPr>
        <w:lastRenderedPageBreak/>
        <w:t>Navedeni rashodi uključuju elektronske medije, tisak, izložbene prostore na sajmu, promidžbene materijale i ostale usluge promidžbe i informiranja.</w:t>
      </w:r>
    </w:p>
    <w:p w:rsidR="009835A2" w:rsidRPr="00E06F71" w:rsidRDefault="009835A2" w:rsidP="006B7B79">
      <w:pPr>
        <w:pStyle w:val="Opisslike"/>
        <w:spacing w:after="0"/>
        <w:jc w:val="both"/>
        <w:rPr>
          <w:rFonts w:ascii="Times New Roman" w:hAnsi="Times New Roman" w:cs="Times New Roman"/>
          <w:sz w:val="20"/>
          <w:szCs w:val="20"/>
        </w:rPr>
      </w:pPr>
      <w:bookmarkStart w:id="80" w:name="_Toc436402284"/>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37</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C46995" w:rsidRPr="006B7B79">
        <w:rPr>
          <w:rFonts w:ascii="Times New Roman" w:hAnsi="Times New Roman" w:cs="Times New Roman"/>
          <w:sz w:val="20"/>
          <w:szCs w:val="20"/>
        </w:rPr>
        <w:t xml:space="preserve"> : Usluge promidžbe i informiranja prema podacima iskazanim u državnom proračunu – izvršenje za 2014. (u mil.</w:t>
      </w:r>
      <w:r w:rsidR="00E06F71">
        <w:rPr>
          <w:rFonts w:ascii="Times New Roman" w:hAnsi="Times New Roman" w:cs="Times New Roman"/>
          <w:sz w:val="20"/>
          <w:szCs w:val="20"/>
        </w:rPr>
        <w:t xml:space="preserve"> kuna</w:t>
      </w:r>
      <w:r w:rsidR="00C46995" w:rsidRPr="006B7B79">
        <w:rPr>
          <w:rFonts w:ascii="Times New Roman" w:hAnsi="Times New Roman" w:cs="Times New Roman"/>
          <w:sz w:val="20"/>
          <w:szCs w:val="20"/>
        </w:rPr>
        <w:t>)</w:t>
      </w:r>
      <w:bookmarkEnd w:id="80"/>
    </w:p>
    <w:tbl>
      <w:tblPr>
        <w:tblW w:w="7779" w:type="dxa"/>
        <w:jc w:val="center"/>
        <w:tblInd w:w="93" w:type="dxa"/>
        <w:tblLook w:val="04A0" w:firstRow="1" w:lastRow="0" w:firstColumn="1" w:lastColumn="0" w:noHBand="0" w:noVBand="1"/>
      </w:tblPr>
      <w:tblGrid>
        <w:gridCol w:w="1360"/>
        <w:gridCol w:w="1141"/>
        <w:gridCol w:w="1040"/>
        <w:gridCol w:w="1040"/>
        <w:gridCol w:w="1040"/>
        <w:gridCol w:w="1106"/>
        <w:gridCol w:w="1052"/>
      </w:tblGrid>
      <w:tr w:rsidR="00E933E0" w:rsidRPr="00C46995" w:rsidTr="00E06F71">
        <w:trPr>
          <w:trHeight w:val="1110"/>
          <w:jc w:val="center"/>
        </w:trPr>
        <w:tc>
          <w:tcPr>
            <w:tcW w:w="1360"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E933E0" w:rsidRPr="00C46995" w:rsidRDefault="00E933E0" w:rsidP="00E06F71">
            <w:pPr>
              <w:spacing w:after="0" w:line="240" w:lineRule="auto"/>
              <w:jc w:val="center"/>
              <w:rPr>
                <w:rFonts w:ascii="Arial" w:eastAsia="Times New Roman" w:hAnsi="Arial" w:cs="Arial"/>
                <w:b/>
                <w:bCs/>
                <w:sz w:val="16"/>
                <w:szCs w:val="16"/>
                <w:lang w:eastAsia="hr-HR"/>
              </w:rPr>
            </w:pPr>
            <w:r w:rsidRPr="00C46995">
              <w:rPr>
                <w:rFonts w:ascii="Arial" w:eastAsia="Times New Roman" w:hAnsi="Arial" w:cs="Arial"/>
                <w:b/>
                <w:bCs/>
                <w:sz w:val="16"/>
                <w:szCs w:val="16"/>
                <w:lang w:eastAsia="hr-HR"/>
              </w:rPr>
              <w:t>Izvršenje 2014.</w:t>
            </w:r>
          </w:p>
        </w:tc>
        <w:tc>
          <w:tcPr>
            <w:tcW w:w="1141" w:type="dxa"/>
            <w:tcBorders>
              <w:top w:val="single" w:sz="4" w:space="0" w:color="000080"/>
              <w:left w:val="nil"/>
              <w:bottom w:val="single" w:sz="4" w:space="0" w:color="000080"/>
              <w:right w:val="single" w:sz="4" w:space="0" w:color="000080"/>
            </w:tcBorders>
            <w:shd w:val="clear" w:color="000000" w:fill="DCE6F1"/>
            <w:vAlign w:val="center"/>
            <w:hideMark/>
          </w:tcPr>
          <w:p w:rsidR="00E933E0" w:rsidRPr="00C46995" w:rsidRDefault="00E933E0" w:rsidP="00E06F71">
            <w:pPr>
              <w:spacing w:after="0" w:line="240" w:lineRule="auto"/>
              <w:jc w:val="center"/>
              <w:rPr>
                <w:rFonts w:ascii="Arial" w:eastAsia="Times New Roman" w:hAnsi="Arial" w:cs="Arial"/>
                <w:b/>
                <w:bCs/>
                <w:color w:val="000000"/>
                <w:sz w:val="16"/>
                <w:szCs w:val="16"/>
                <w:lang w:eastAsia="hr-HR"/>
              </w:rPr>
            </w:pPr>
            <w:r w:rsidRPr="00C46995">
              <w:rPr>
                <w:rFonts w:ascii="Arial" w:eastAsia="Times New Roman" w:hAnsi="Arial" w:cs="Arial"/>
                <w:b/>
                <w:bCs/>
                <w:color w:val="000000"/>
                <w:sz w:val="16"/>
                <w:szCs w:val="16"/>
                <w:lang w:eastAsia="hr-HR"/>
              </w:rPr>
              <w:t>Usluge promidžbe i informiranja</w:t>
            </w:r>
          </w:p>
        </w:tc>
        <w:tc>
          <w:tcPr>
            <w:tcW w:w="1040" w:type="dxa"/>
            <w:tcBorders>
              <w:top w:val="single" w:sz="4" w:space="0" w:color="000080"/>
              <w:left w:val="nil"/>
              <w:bottom w:val="single" w:sz="4" w:space="0" w:color="000080"/>
              <w:right w:val="single" w:sz="4" w:space="0" w:color="000080"/>
            </w:tcBorders>
            <w:shd w:val="clear" w:color="000000" w:fill="DCE6F1"/>
            <w:vAlign w:val="center"/>
            <w:hideMark/>
          </w:tcPr>
          <w:p w:rsidR="00E933E0" w:rsidRPr="00C46995" w:rsidRDefault="00E933E0" w:rsidP="00E06F71">
            <w:pPr>
              <w:spacing w:after="0" w:line="240" w:lineRule="auto"/>
              <w:jc w:val="center"/>
              <w:rPr>
                <w:rFonts w:ascii="Arial" w:eastAsia="Times New Roman" w:hAnsi="Arial" w:cs="Arial"/>
                <w:color w:val="000000"/>
                <w:sz w:val="16"/>
                <w:szCs w:val="16"/>
                <w:lang w:eastAsia="hr-HR"/>
              </w:rPr>
            </w:pPr>
            <w:r w:rsidRPr="00C46995">
              <w:rPr>
                <w:rFonts w:ascii="Arial" w:eastAsia="Times New Roman" w:hAnsi="Arial" w:cs="Arial"/>
                <w:color w:val="000000"/>
                <w:sz w:val="16"/>
                <w:szCs w:val="16"/>
                <w:lang w:eastAsia="hr-HR"/>
              </w:rPr>
              <w:t>Elektronski mediji</w:t>
            </w:r>
          </w:p>
        </w:tc>
        <w:tc>
          <w:tcPr>
            <w:tcW w:w="1040" w:type="dxa"/>
            <w:tcBorders>
              <w:top w:val="single" w:sz="4" w:space="0" w:color="000080"/>
              <w:left w:val="nil"/>
              <w:bottom w:val="single" w:sz="4" w:space="0" w:color="000080"/>
              <w:right w:val="single" w:sz="4" w:space="0" w:color="000080"/>
            </w:tcBorders>
            <w:shd w:val="clear" w:color="000000" w:fill="DCE6F1"/>
            <w:vAlign w:val="center"/>
            <w:hideMark/>
          </w:tcPr>
          <w:p w:rsidR="00E933E0" w:rsidRPr="00C46995" w:rsidRDefault="00E933E0" w:rsidP="00E06F71">
            <w:pPr>
              <w:spacing w:after="0" w:line="240" w:lineRule="auto"/>
              <w:jc w:val="center"/>
              <w:rPr>
                <w:rFonts w:ascii="Arial" w:eastAsia="Times New Roman" w:hAnsi="Arial" w:cs="Arial"/>
                <w:color w:val="000000"/>
                <w:sz w:val="16"/>
                <w:szCs w:val="16"/>
                <w:lang w:eastAsia="hr-HR"/>
              </w:rPr>
            </w:pPr>
            <w:r w:rsidRPr="00C46995">
              <w:rPr>
                <w:rFonts w:ascii="Arial" w:eastAsia="Times New Roman" w:hAnsi="Arial" w:cs="Arial"/>
                <w:color w:val="000000"/>
                <w:sz w:val="16"/>
                <w:szCs w:val="16"/>
                <w:lang w:eastAsia="hr-HR"/>
              </w:rPr>
              <w:t>Tisak</w:t>
            </w:r>
          </w:p>
        </w:tc>
        <w:tc>
          <w:tcPr>
            <w:tcW w:w="1040" w:type="dxa"/>
            <w:tcBorders>
              <w:top w:val="single" w:sz="4" w:space="0" w:color="000080"/>
              <w:left w:val="nil"/>
              <w:bottom w:val="single" w:sz="4" w:space="0" w:color="000080"/>
              <w:right w:val="single" w:sz="4" w:space="0" w:color="000080"/>
            </w:tcBorders>
            <w:shd w:val="clear" w:color="000000" w:fill="DCE6F1"/>
            <w:vAlign w:val="center"/>
            <w:hideMark/>
          </w:tcPr>
          <w:p w:rsidR="00E933E0" w:rsidRPr="00C46995" w:rsidRDefault="00E933E0" w:rsidP="00E06F71">
            <w:pPr>
              <w:spacing w:after="0" w:line="240" w:lineRule="auto"/>
              <w:jc w:val="center"/>
              <w:rPr>
                <w:rFonts w:ascii="Arial" w:eastAsia="Times New Roman" w:hAnsi="Arial" w:cs="Arial"/>
                <w:color w:val="000000"/>
                <w:sz w:val="16"/>
                <w:szCs w:val="16"/>
                <w:lang w:eastAsia="hr-HR"/>
              </w:rPr>
            </w:pPr>
            <w:r w:rsidRPr="00C46995">
              <w:rPr>
                <w:rFonts w:ascii="Arial" w:eastAsia="Times New Roman" w:hAnsi="Arial" w:cs="Arial"/>
                <w:color w:val="000000"/>
                <w:sz w:val="16"/>
                <w:szCs w:val="16"/>
                <w:lang w:eastAsia="hr-HR"/>
              </w:rPr>
              <w:t>Izložbeni prostor na sajmu</w:t>
            </w:r>
          </w:p>
        </w:tc>
        <w:tc>
          <w:tcPr>
            <w:tcW w:w="1106" w:type="dxa"/>
            <w:tcBorders>
              <w:top w:val="single" w:sz="4" w:space="0" w:color="000080"/>
              <w:left w:val="nil"/>
              <w:bottom w:val="single" w:sz="4" w:space="0" w:color="000080"/>
              <w:right w:val="single" w:sz="4" w:space="0" w:color="000080"/>
            </w:tcBorders>
            <w:shd w:val="clear" w:color="000000" w:fill="DCE6F1"/>
            <w:vAlign w:val="center"/>
            <w:hideMark/>
          </w:tcPr>
          <w:p w:rsidR="00E933E0" w:rsidRPr="00C46995" w:rsidRDefault="00E933E0" w:rsidP="00E06F71">
            <w:pPr>
              <w:spacing w:after="0" w:line="240" w:lineRule="auto"/>
              <w:jc w:val="center"/>
              <w:rPr>
                <w:rFonts w:ascii="Arial" w:eastAsia="Times New Roman" w:hAnsi="Arial" w:cs="Arial"/>
                <w:color w:val="000000"/>
                <w:sz w:val="16"/>
                <w:szCs w:val="16"/>
                <w:lang w:eastAsia="hr-HR"/>
              </w:rPr>
            </w:pPr>
            <w:r w:rsidRPr="00C46995">
              <w:rPr>
                <w:rFonts w:ascii="Arial" w:eastAsia="Times New Roman" w:hAnsi="Arial" w:cs="Arial"/>
                <w:color w:val="000000"/>
                <w:sz w:val="16"/>
                <w:szCs w:val="16"/>
                <w:lang w:eastAsia="hr-HR"/>
              </w:rPr>
              <w:t>Promidžbeni materijali</w:t>
            </w:r>
          </w:p>
        </w:tc>
        <w:tc>
          <w:tcPr>
            <w:tcW w:w="1052" w:type="dxa"/>
            <w:tcBorders>
              <w:top w:val="single" w:sz="4" w:space="0" w:color="000080"/>
              <w:left w:val="nil"/>
              <w:bottom w:val="single" w:sz="4" w:space="0" w:color="000080"/>
              <w:right w:val="single" w:sz="4" w:space="0" w:color="000080"/>
            </w:tcBorders>
            <w:shd w:val="clear" w:color="000000" w:fill="DCE6F1"/>
            <w:vAlign w:val="center"/>
            <w:hideMark/>
          </w:tcPr>
          <w:p w:rsidR="00E933E0" w:rsidRPr="00C46995" w:rsidRDefault="00E933E0" w:rsidP="00E06F71">
            <w:pPr>
              <w:spacing w:after="0" w:line="240" w:lineRule="auto"/>
              <w:jc w:val="center"/>
              <w:rPr>
                <w:rFonts w:ascii="Arial" w:eastAsia="Times New Roman" w:hAnsi="Arial" w:cs="Arial"/>
                <w:color w:val="000000"/>
                <w:sz w:val="16"/>
                <w:szCs w:val="16"/>
                <w:lang w:eastAsia="hr-HR"/>
              </w:rPr>
            </w:pPr>
            <w:r w:rsidRPr="00C46995">
              <w:rPr>
                <w:rFonts w:ascii="Arial" w:eastAsia="Times New Roman" w:hAnsi="Arial" w:cs="Arial"/>
                <w:color w:val="000000"/>
                <w:sz w:val="16"/>
                <w:szCs w:val="16"/>
                <w:lang w:eastAsia="hr-HR"/>
              </w:rPr>
              <w:t>Ostale usluge promidžbe i informiranja</w:t>
            </w:r>
          </w:p>
        </w:tc>
      </w:tr>
      <w:tr w:rsidR="00E933E0" w:rsidRPr="00C46995" w:rsidTr="00E06F71">
        <w:trPr>
          <w:trHeight w:val="300"/>
          <w:jc w:val="center"/>
        </w:trPr>
        <w:tc>
          <w:tcPr>
            <w:tcW w:w="1360" w:type="dxa"/>
            <w:tcBorders>
              <w:top w:val="nil"/>
              <w:left w:val="single" w:sz="4" w:space="0" w:color="000080"/>
              <w:bottom w:val="single" w:sz="4" w:space="0" w:color="000080"/>
              <w:right w:val="single" w:sz="4" w:space="0" w:color="000080"/>
            </w:tcBorders>
            <w:shd w:val="clear" w:color="000000" w:fill="DCE6F1"/>
            <w:noWrap/>
            <w:vAlign w:val="center"/>
            <w:hideMark/>
          </w:tcPr>
          <w:p w:rsidR="00E933E0" w:rsidRPr="00C46995" w:rsidRDefault="00E933E0" w:rsidP="00C46995">
            <w:pPr>
              <w:spacing w:after="0" w:line="240" w:lineRule="auto"/>
              <w:ind w:firstLineChars="200" w:firstLine="320"/>
              <w:rPr>
                <w:rFonts w:ascii="Arial" w:eastAsia="Times New Roman" w:hAnsi="Arial" w:cs="Arial"/>
                <w:sz w:val="16"/>
                <w:szCs w:val="16"/>
                <w:lang w:eastAsia="hr-HR"/>
              </w:rPr>
            </w:pPr>
            <w:r w:rsidRPr="00C46995">
              <w:rPr>
                <w:rFonts w:ascii="Arial" w:eastAsia="Times New Roman" w:hAnsi="Arial" w:cs="Arial"/>
                <w:sz w:val="16"/>
                <w:szCs w:val="16"/>
                <w:lang w:eastAsia="hr-HR"/>
              </w:rPr>
              <w:t>- Ukupno</w:t>
            </w:r>
          </w:p>
        </w:tc>
        <w:tc>
          <w:tcPr>
            <w:tcW w:w="1141" w:type="dxa"/>
            <w:tcBorders>
              <w:top w:val="nil"/>
              <w:left w:val="nil"/>
              <w:bottom w:val="single" w:sz="4" w:space="0" w:color="000080"/>
              <w:right w:val="single" w:sz="4" w:space="0" w:color="000080"/>
            </w:tcBorders>
            <w:shd w:val="clear" w:color="000000" w:fill="DCE6F1"/>
            <w:noWrap/>
            <w:vAlign w:val="center"/>
            <w:hideMark/>
          </w:tcPr>
          <w:p w:rsidR="00E933E0" w:rsidRPr="00C46995" w:rsidRDefault="00E933E0" w:rsidP="00E933E0">
            <w:pPr>
              <w:spacing w:after="0" w:line="240" w:lineRule="auto"/>
              <w:jc w:val="right"/>
              <w:rPr>
                <w:rFonts w:ascii="Arial" w:eastAsia="Times New Roman" w:hAnsi="Arial" w:cs="Arial"/>
                <w:color w:val="000000"/>
                <w:sz w:val="16"/>
                <w:szCs w:val="16"/>
                <w:lang w:eastAsia="hr-HR"/>
              </w:rPr>
            </w:pPr>
            <w:r w:rsidRPr="00C46995">
              <w:rPr>
                <w:rFonts w:ascii="Arial" w:eastAsia="Times New Roman" w:hAnsi="Arial" w:cs="Arial"/>
                <w:color w:val="000000"/>
                <w:sz w:val="16"/>
                <w:szCs w:val="16"/>
                <w:lang w:eastAsia="hr-HR"/>
              </w:rPr>
              <w:t>84,041</w:t>
            </w:r>
          </w:p>
        </w:tc>
        <w:tc>
          <w:tcPr>
            <w:tcW w:w="1040" w:type="dxa"/>
            <w:tcBorders>
              <w:top w:val="nil"/>
              <w:left w:val="nil"/>
              <w:bottom w:val="single" w:sz="4" w:space="0" w:color="000080"/>
              <w:right w:val="single" w:sz="4" w:space="0" w:color="000080"/>
            </w:tcBorders>
            <w:shd w:val="clear" w:color="000000" w:fill="DCE6F1"/>
            <w:noWrap/>
            <w:vAlign w:val="center"/>
            <w:hideMark/>
          </w:tcPr>
          <w:p w:rsidR="00E933E0" w:rsidRPr="00C46995" w:rsidRDefault="00E933E0" w:rsidP="00E933E0">
            <w:pPr>
              <w:spacing w:after="0" w:line="240" w:lineRule="auto"/>
              <w:jc w:val="right"/>
              <w:rPr>
                <w:rFonts w:ascii="Arial" w:eastAsia="Times New Roman" w:hAnsi="Arial" w:cs="Arial"/>
                <w:color w:val="000000"/>
                <w:sz w:val="16"/>
                <w:szCs w:val="16"/>
                <w:lang w:eastAsia="hr-HR"/>
              </w:rPr>
            </w:pPr>
            <w:r w:rsidRPr="00C46995">
              <w:rPr>
                <w:rFonts w:ascii="Arial" w:eastAsia="Times New Roman" w:hAnsi="Arial" w:cs="Arial"/>
                <w:color w:val="000000"/>
                <w:sz w:val="16"/>
                <w:szCs w:val="16"/>
                <w:lang w:eastAsia="hr-HR"/>
              </w:rPr>
              <w:t>7,47</w:t>
            </w:r>
            <w:r w:rsidR="00657D69" w:rsidRPr="00C46995">
              <w:rPr>
                <w:rFonts w:ascii="Arial" w:eastAsia="Times New Roman" w:hAnsi="Arial" w:cs="Arial"/>
                <w:color w:val="000000"/>
                <w:sz w:val="16"/>
                <w:szCs w:val="16"/>
                <w:lang w:eastAsia="hr-HR"/>
              </w:rPr>
              <w:t>0</w:t>
            </w:r>
          </w:p>
        </w:tc>
        <w:tc>
          <w:tcPr>
            <w:tcW w:w="1040" w:type="dxa"/>
            <w:tcBorders>
              <w:top w:val="nil"/>
              <w:left w:val="nil"/>
              <w:bottom w:val="single" w:sz="4" w:space="0" w:color="000080"/>
              <w:right w:val="single" w:sz="4" w:space="0" w:color="000080"/>
            </w:tcBorders>
            <w:shd w:val="clear" w:color="000000" w:fill="DCE6F1"/>
            <w:noWrap/>
            <w:vAlign w:val="center"/>
            <w:hideMark/>
          </w:tcPr>
          <w:p w:rsidR="00E933E0" w:rsidRPr="00C46995" w:rsidRDefault="00E933E0" w:rsidP="00E933E0">
            <w:pPr>
              <w:spacing w:after="0" w:line="240" w:lineRule="auto"/>
              <w:jc w:val="right"/>
              <w:rPr>
                <w:rFonts w:ascii="Arial" w:eastAsia="Times New Roman" w:hAnsi="Arial" w:cs="Arial"/>
                <w:color w:val="000000"/>
                <w:sz w:val="16"/>
                <w:szCs w:val="16"/>
                <w:lang w:eastAsia="hr-HR"/>
              </w:rPr>
            </w:pPr>
            <w:r w:rsidRPr="00C46995">
              <w:rPr>
                <w:rFonts w:ascii="Arial" w:eastAsia="Times New Roman" w:hAnsi="Arial" w:cs="Arial"/>
                <w:color w:val="000000"/>
                <w:sz w:val="16"/>
                <w:szCs w:val="16"/>
                <w:lang w:eastAsia="hr-HR"/>
              </w:rPr>
              <w:t>6,405</w:t>
            </w:r>
          </w:p>
        </w:tc>
        <w:tc>
          <w:tcPr>
            <w:tcW w:w="1040" w:type="dxa"/>
            <w:tcBorders>
              <w:top w:val="nil"/>
              <w:left w:val="nil"/>
              <w:bottom w:val="single" w:sz="4" w:space="0" w:color="000080"/>
              <w:right w:val="single" w:sz="4" w:space="0" w:color="000080"/>
            </w:tcBorders>
            <w:shd w:val="clear" w:color="000000" w:fill="DCE6F1"/>
            <w:noWrap/>
            <w:vAlign w:val="center"/>
            <w:hideMark/>
          </w:tcPr>
          <w:p w:rsidR="00E933E0" w:rsidRPr="00C46995" w:rsidRDefault="00896312" w:rsidP="00E933E0">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00E933E0" w:rsidRPr="00C46995">
              <w:rPr>
                <w:rFonts w:ascii="Arial" w:eastAsia="Times New Roman" w:hAnsi="Arial" w:cs="Arial"/>
                <w:color w:val="000000"/>
                <w:sz w:val="16"/>
                <w:szCs w:val="16"/>
                <w:lang w:eastAsia="hr-HR"/>
              </w:rPr>
              <w:t>,796</w:t>
            </w:r>
          </w:p>
        </w:tc>
        <w:tc>
          <w:tcPr>
            <w:tcW w:w="1106" w:type="dxa"/>
            <w:tcBorders>
              <w:top w:val="nil"/>
              <w:left w:val="nil"/>
              <w:bottom w:val="single" w:sz="4" w:space="0" w:color="000080"/>
              <w:right w:val="single" w:sz="4" w:space="0" w:color="000080"/>
            </w:tcBorders>
            <w:shd w:val="clear" w:color="000000" w:fill="DCE6F1"/>
            <w:noWrap/>
            <w:vAlign w:val="center"/>
            <w:hideMark/>
          </w:tcPr>
          <w:p w:rsidR="00E933E0" w:rsidRPr="00C46995" w:rsidRDefault="00E933E0" w:rsidP="00E933E0">
            <w:pPr>
              <w:spacing w:after="0" w:line="240" w:lineRule="auto"/>
              <w:jc w:val="right"/>
              <w:rPr>
                <w:rFonts w:ascii="Arial" w:eastAsia="Times New Roman" w:hAnsi="Arial" w:cs="Arial"/>
                <w:color w:val="000000"/>
                <w:sz w:val="16"/>
                <w:szCs w:val="16"/>
                <w:lang w:eastAsia="hr-HR"/>
              </w:rPr>
            </w:pPr>
            <w:r w:rsidRPr="00C46995">
              <w:rPr>
                <w:rFonts w:ascii="Arial" w:eastAsia="Times New Roman" w:hAnsi="Arial" w:cs="Arial"/>
                <w:color w:val="000000"/>
                <w:sz w:val="16"/>
                <w:szCs w:val="16"/>
                <w:lang w:eastAsia="hr-HR"/>
              </w:rPr>
              <w:t>5,606</w:t>
            </w:r>
          </w:p>
        </w:tc>
        <w:tc>
          <w:tcPr>
            <w:tcW w:w="1052" w:type="dxa"/>
            <w:tcBorders>
              <w:top w:val="nil"/>
              <w:left w:val="nil"/>
              <w:bottom w:val="single" w:sz="4" w:space="0" w:color="000080"/>
              <w:right w:val="single" w:sz="4" w:space="0" w:color="000080"/>
            </w:tcBorders>
            <w:shd w:val="clear" w:color="000000" w:fill="DCE6F1"/>
            <w:noWrap/>
            <w:vAlign w:val="center"/>
            <w:hideMark/>
          </w:tcPr>
          <w:p w:rsidR="00E933E0" w:rsidRPr="00C46995" w:rsidRDefault="00E933E0" w:rsidP="00E933E0">
            <w:pPr>
              <w:spacing w:after="0" w:line="240" w:lineRule="auto"/>
              <w:jc w:val="right"/>
              <w:rPr>
                <w:rFonts w:ascii="Arial" w:eastAsia="Times New Roman" w:hAnsi="Arial" w:cs="Arial"/>
                <w:color w:val="000000"/>
                <w:sz w:val="16"/>
                <w:szCs w:val="16"/>
                <w:lang w:eastAsia="hr-HR"/>
              </w:rPr>
            </w:pPr>
            <w:r w:rsidRPr="00C46995">
              <w:rPr>
                <w:rFonts w:ascii="Arial" w:eastAsia="Times New Roman" w:hAnsi="Arial" w:cs="Arial"/>
                <w:color w:val="000000"/>
                <w:sz w:val="16"/>
                <w:szCs w:val="16"/>
                <w:lang w:eastAsia="hr-HR"/>
              </w:rPr>
              <w:t>63,764</w:t>
            </w:r>
          </w:p>
        </w:tc>
      </w:tr>
      <w:tr w:rsidR="00E933E0" w:rsidRPr="00C46995" w:rsidTr="00E06F71">
        <w:trPr>
          <w:trHeight w:val="300"/>
          <w:jc w:val="center"/>
        </w:trPr>
        <w:tc>
          <w:tcPr>
            <w:tcW w:w="1360" w:type="dxa"/>
            <w:tcBorders>
              <w:top w:val="nil"/>
              <w:left w:val="single" w:sz="4" w:space="0" w:color="000080"/>
              <w:bottom w:val="single" w:sz="4" w:space="0" w:color="000080"/>
              <w:right w:val="single" w:sz="4" w:space="0" w:color="000080"/>
            </w:tcBorders>
            <w:shd w:val="clear" w:color="auto" w:fill="auto"/>
            <w:noWrap/>
            <w:vAlign w:val="center"/>
            <w:hideMark/>
          </w:tcPr>
          <w:p w:rsidR="00E933E0" w:rsidRPr="00C46995" w:rsidRDefault="00E933E0" w:rsidP="00C46995">
            <w:pPr>
              <w:spacing w:after="0" w:line="240" w:lineRule="auto"/>
              <w:ind w:firstLineChars="200" w:firstLine="320"/>
              <w:rPr>
                <w:rFonts w:ascii="Arial" w:eastAsia="Times New Roman" w:hAnsi="Arial" w:cs="Arial"/>
                <w:sz w:val="16"/>
                <w:szCs w:val="16"/>
                <w:lang w:eastAsia="hr-HR"/>
              </w:rPr>
            </w:pPr>
            <w:r w:rsidRPr="00C46995">
              <w:rPr>
                <w:rFonts w:ascii="Arial" w:eastAsia="Times New Roman" w:hAnsi="Arial" w:cs="Arial"/>
                <w:sz w:val="16"/>
                <w:szCs w:val="16"/>
                <w:lang w:eastAsia="hr-HR"/>
              </w:rPr>
              <w:t>- 1+2+8</w:t>
            </w:r>
          </w:p>
        </w:tc>
        <w:tc>
          <w:tcPr>
            <w:tcW w:w="1141" w:type="dxa"/>
            <w:tcBorders>
              <w:top w:val="nil"/>
              <w:left w:val="nil"/>
              <w:bottom w:val="single" w:sz="4" w:space="0" w:color="000080"/>
              <w:right w:val="single" w:sz="4" w:space="0" w:color="000080"/>
            </w:tcBorders>
            <w:shd w:val="clear" w:color="auto" w:fill="auto"/>
            <w:noWrap/>
            <w:vAlign w:val="center"/>
            <w:hideMark/>
          </w:tcPr>
          <w:p w:rsidR="00E933E0" w:rsidRPr="00C46995" w:rsidRDefault="00E933E0" w:rsidP="00E933E0">
            <w:pPr>
              <w:spacing w:after="0" w:line="240" w:lineRule="auto"/>
              <w:jc w:val="right"/>
              <w:rPr>
                <w:rFonts w:ascii="Arial" w:eastAsia="Times New Roman" w:hAnsi="Arial" w:cs="Arial"/>
                <w:color w:val="000000"/>
                <w:sz w:val="16"/>
                <w:szCs w:val="16"/>
                <w:lang w:eastAsia="hr-HR"/>
              </w:rPr>
            </w:pPr>
            <w:r w:rsidRPr="00C46995">
              <w:rPr>
                <w:rFonts w:ascii="Arial" w:eastAsia="Times New Roman" w:hAnsi="Arial" w:cs="Arial"/>
                <w:color w:val="000000"/>
                <w:sz w:val="16"/>
                <w:szCs w:val="16"/>
                <w:lang w:eastAsia="hr-HR"/>
              </w:rPr>
              <w:t>73,808</w:t>
            </w:r>
          </w:p>
        </w:tc>
        <w:tc>
          <w:tcPr>
            <w:tcW w:w="1040" w:type="dxa"/>
            <w:tcBorders>
              <w:top w:val="nil"/>
              <w:left w:val="nil"/>
              <w:bottom w:val="single" w:sz="4" w:space="0" w:color="000080"/>
              <w:right w:val="single" w:sz="4" w:space="0" w:color="000080"/>
            </w:tcBorders>
            <w:shd w:val="clear" w:color="auto" w:fill="auto"/>
            <w:noWrap/>
            <w:vAlign w:val="center"/>
            <w:hideMark/>
          </w:tcPr>
          <w:p w:rsidR="00E933E0" w:rsidRPr="00C46995" w:rsidRDefault="00E933E0" w:rsidP="00E933E0">
            <w:pPr>
              <w:spacing w:after="0" w:line="240" w:lineRule="auto"/>
              <w:jc w:val="right"/>
              <w:rPr>
                <w:rFonts w:ascii="Arial" w:eastAsia="Times New Roman" w:hAnsi="Arial" w:cs="Arial"/>
                <w:color w:val="000000"/>
                <w:sz w:val="16"/>
                <w:szCs w:val="16"/>
                <w:lang w:eastAsia="hr-HR"/>
              </w:rPr>
            </w:pPr>
            <w:r w:rsidRPr="00C46995">
              <w:rPr>
                <w:rFonts w:ascii="Arial" w:eastAsia="Times New Roman" w:hAnsi="Arial" w:cs="Arial"/>
                <w:color w:val="000000"/>
                <w:sz w:val="16"/>
                <w:szCs w:val="16"/>
                <w:lang w:eastAsia="hr-HR"/>
              </w:rPr>
              <w:t>3,18</w:t>
            </w:r>
            <w:r w:rsidR="00D04097" w:rsidRPr="00C46995">
              <w:rPr>
                <w:rFonts w:ascii="Arial" w:eastAsia="Times New Roman" w:hAnsi="Arial" w:cs="Arial"/>
                <w:color w:val="000000"/>
                <w:sz w:val="16"/>
                <w:szCs w:val="16"/>
                <w:lang w:eastAsia="hr-HR"/>
              </w:rPr>
              <w:t>0</w:t>
            </w:r>
          </w:p>
        </w:tc>
        <w:tc>
          <w:tcPr>
            <w:tcW w:w="1040" w:type="dxa"/>
            <w:tcBorders>
              <w:top w:val="nil"/>
              <w:left w:val="nil"/>
              <w:bottom w:val="single" w:sz="4" w:space="0" w:color="000080"/>
              <w:right w:val="single" w:sz="4" w:space="0" w:color="000080"/>
            </w:tcBorders>
            <w:shd w:val="clear" w:color="auto" w:fill="auto"/>
            <w:noWrap/>
            <w:vAlign w:val="center"/>
            <w:hideMark/>
          </w:tcPr>
          <w:p w:rsidR="00E933E0" w:rsidRPr="00C46995" w:rsidRDefault="00E933E0" w:rsidP="00E933E0">
            <w:pPr>
              <w:spacing w:after="0" w:line="240" w:lineRule="auto"/>
              <w:jc w:val="right"/>
              <w:rPr>
                <w:rFonts w:ascii="Arial" w:eastAsia="Times New Roman" w:hAnsi="Arial" w:cs="Arial"/>
                <w:color w:val="000000"/>
                <w:sz w:val="16"/>
                <w:szCs w:val="16"/>
                <w:lang w:eastAsia="hr-HR"/>
              </w:rPr>
            </w:pPr>
            <w:r w:rsidRPr="00C46995">
              <w:rPr>
                <w:rFonts w:ascii="Arial" w:eastAsia="Times New Roman" w:hAnsi="Arial" w:cs="Arial"/>
                <w:color w:val="000000"/>
                <w:sz w:val="16"/>
                <w:szCs w:val="16"/>
                <w:lang w:eastAsia="hr-HR"/>
              </w:rPr>
              <w:t>5,68</w:t>
            </w:r>
            <w:r w:rsidR="008A00B8" w:rsidRPr="00C46995">
              <w:rPr>
                <w:rFonts w:ascii="Arial" w:eastAsia="Times New Roman" w:hAnsi="Arial" w:cs="Arial"/>
                <w:color w:val="000000"/>
                <w:sz w:val="16"/>
                <w:szCs w:val="16"/>
                <w:lang w:eastAsia="hr-HR"/>
              </w:rPr>
              <w:t>0</w:t>
            </w:r>
          </w:p>
        </w:tc>
        <w:tc>
          <w:tcPr>
            <w:tcW w:w="1040" w:type="dxa"/>
            <w:tcBorders>
              <w:top w:val="nil"/>
              <w:left w:val="nil"/>
              <w:bottom w:val="single" w:sz="4" w:space="0" w:color="000080"/>
              <w:right w:val="single" w:sz="4" w:space="0" w:color="000080"/>
            </w:tcBorders>
            <w:shd w:val="clear" w:color="auto" w:fill="auto"/>
            <w:noWrap/>
            <w:vAlign w:val="center"/>
            <w:hideMark/>
          </w:tcPr>
          <w:p w:rsidR="00E933E0" w:rsidRPr="00C46995" w:rsidRDefault="00896312" w:rsidP="00E933E0">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00E933E0" w:rsidRPr="00C46995">
              <w:rPr>
                <w:rFonts w:ascii="Arial" w:eastAsia="Times New Roman" w:hAnsi="Arial" w:cs="Arial"/>
                <w:color w:val="000000"/>
                <w:sz w:val="16"/>
                <w:szCs w:val="16"/>
                <w:lang w:eastAsia="hr-HR"/>
              </w:rPr>
              <w:t>,594</w:t>
            </w:r>
          </w:p>
        </w:tc>
        <w:tc>
          <w:tcPr>
            <w:tcW w:w="1106" w:type="dxa"/>
            <w:tcBorders>
              <w:top w:val="nil"/>
              <w:left w:val="nil"/>
              <w:bottom w:val="single" w:sz="4" w:space="0" w:color="000080"/>
              <w:right w:val="single" w:sz="4" w:space="0" w:color="000080"/>
            </w:tcBorders>
            <w:shd w:val="clear" w:color="auto" w:fill="auto"/>
            <w:noWrap/>
            <w:vAlign w:val="center"/>
            <w:hideMark/>
          </w:tcPr>
          <w:p w:rsidR="00E933E0" w:rsidRPr="00C46995" w:rsidRDefault="00E933E0" w:rsidP="00E933E0">
            <w:pPr>
              <w:spacing w:after="0" w:line="240" w:lineRule="auto"/>
              <w:jc w:val="right"/>
              <w:rPr>
                <w:rFonts w:ascii="Arial" w:eastAsia="Times New Roman" w:hAnsi="Arial" w:cs="Arial"/>
                <w:color w:val="000000"/>
                <w:sz w:val="16"/>
                <w:szCs w:val="16"/>
                <w:lang w:eastAsia="hr-HR"/>
              </w:rPr>
            </w:pPr>
            <w:r w:rsidRPr="00C46995">
              <w:rPr>
                <w:rFonts w:ascii="Arial" w:eastAsia="Times New Roman" w:hAnsi="Arial" w:cs="Arial"/>
                <w:color w:val="000000"/>
                <w:sz w:val="16"/>
                <w:szCs w:val="16"/>
                <w:lang w:eastAsia="hr-HR"/>
              </w:rPr>
              <w:t>3,556</w:t>
            </w:r>
          </w:p>
        </w:tc>
        <w:tc>
          <w:tcPr>
            <w:tcW w:w="1052" w:type="dxa"/>
            <w:tcBorders>
              <w:top w:val="nil"/>
              <w:left w:val="nil"/>
              <w:bottom w:val="single" w:sz="4" w:space="0" w:color="000080"/>
              <w:right w:val="single" w:sz="4" w:space="0" w:color="000080"/>
            </w:tcBorders>
            <w:shd w:val="clear" w:color="auto" w:fill="auto"/>
            <w:noWrap/>
            <w:vAlign w:val="center"/>
            <w:hideMark/>
          </w:tcPr>
          <w:p w:rsidR="00E933E0" w:rsidRPr="00C46995" w:rsidRDefault="00E933E0" w:rsidP="00E933E0">
            <w:pPr>
              <w:spacing w:after="0" w:line="240" w:lineRule="auto"/>
              <w:jc w:val="right"/>
              <w:rPr>
                <w:rFonts w:ascii="Arial" w:eastAsia="Times New Roman" w:hAnsi="Arial" w:cs="Arial"/>
                <w:color w:val="000000"/>
                <w:sz w:val="16"/>
                <w:szCs w:val="16"/>
                <w:lang w:eastAsia="hr-HR"/>
              </w:rPr>
            </w:pPr>
            <w:r w:rsidRPr="00C46995">
              <w:rPr>
                <w:rFonts w:ascii="Arial" w:eastAsia="Times New Roman" w:hAnsi="Arial" w:cs="Arial"/>
                <w:color w:val="000000"/>
                <w:sz w:val="16"/>
                <w:szCs w:val="16"/>
                <w:lang w:eastAsia="hr-HR"/>
              </w:rPr>
              <w:t>60,8</w:t>
            </w:r>
            <w:r w:rsidR="00D04097" w:rsidRPr="00C46995">
              <w:rPr>
                <w:rFonts w:ascii="Arial" w:eastAsia="Times New Roman" w:hAnsi="Arial" w:cs="Arial"/>
                <w:color w:val="000000"/>
                <w:sz w:val="16"/>
                <w:szCs w:val="16"/>
                <w:lang w:eastAsia="hr-HR"/>
              </w:rPr>
              <w:t>00</w:t>
            </w:r>
          </w:p>
        </w:tc>
      </w:tr>
      <w:tr w:rsidR="00E933E0" w:rsidRPr="00C46995" w:rsidTr="00E06F71">
        <w:trPr>
          <w:trHeight w:val="300"/>
          <w:jc w:val="center"/>
        </w:trPr>
        <w:tc>
          <w:tcPr>
            <w:tcW w:w="1360" w:type="dxa"/>
            <w:tcBorders>
              <w:top w:val="nil"/>
              <w:left w:val="single" w:sz="4" w:space="0" w:color="000080"/>
              <w:bottom w:val="single" w:sz="4" w:space="0" w:color="000080"/>
              <w:right w:val="single" w:sz="4" w:space="0" w:color="000080"/>
            </w:tcBorders>
            <w:shd w:val="clear" w:color="auto" w:fill="auto"/>
            <w:noWrap/>
            <w:vAlign w:val="center"/>
            <w:hideMark/>
          </w:tcPr>
          <w:p w:rsidR="00E933E0" w:rsidRPr="00C46995" w:rsidRDefault="00E933E0" w:rsidP="00C46995">
            <w:pPr>
              <w:spacing w:after="0" w:line="240" w:lineRule="auto"/>
              <w:ind w:firstLineChars="200" w:firstLine="320"/>
              <w:rPr>
                <w:rFonts w:ascii="Arial" w:eastAsia="Times New Roman" w:hAnsi="Arial" w:cs="Arial"/>
                <w:sz w:val="16"/>
                <w:szCs w:val="16"/>
                <w:lang w:eastAsia="hr-HR"/>
              </w:rPr>
            </w:pPr>
            <w:r w:rsidRPr="00C46995">
              <w:rPr>
                <w:rFonts w:ascii="Arial" w:eastAsia="Times New Roman" w:hAnsi="Arial" w:cs="Arial"/>
                <w:sz w:val="16"/>
                <w:szCs w:val="16"/>
                <w:lang w:eastAsia="hr-HR"/>
              </w:rPr>
              <w:t>- ostali izvori</w:t>
            </w:r>
          </w:p>
        </w:tc>
        <w:tc>
          <w:tcPr>
            <w:tcW w:w="1141" w:type="dxa"/>
            <w:tcBorders>
              <w:top w:val="nil"/>
              <w:left w:val="nil"/>
              <w:bottom w:val="single" w:sz="4" w:space="0" w:color="000080"/>
              <w:right w:val="single" w:sz="4" w:space="0" w:color="000080"/>
            </w:tcBorders>
            <w:shd w:val="clear" w:color="auto" w:fill="auto"/>
            <w:noWrap/>
            <w:vAlign w:val="center"/>
            <w:hideMark/>
          </w:tcPr>
          <w:p w:rsidR="00E933E0" w:rsidRPr="00C46995" w:rsidRDefault="00E933E0" w:rsidP="00E933E0">
            <w:pPr>
              <w:spacing w:after="0" w:line="240" w:lineRule="auto"/>
              <w:jc w:val="right"/>
              <w:rPr>
                <w:rFonts w:ascii="Arial" w:eastAsia="Times New Roman" w:hAnsi="Arial" w:cs="Arial"/>
                <w:color w:val="000000"/>
                <w:sz w:val="16"/>
                <w:szCs w:val="16"/>
                <w:lang w:eastAsia="hr-HR"/>
              </w:rPr>
            </w:pPr>
            <w:r w:rsidRPr="00C46995">
              <w:rPr>
                <w:rFonts w:ascii="Arial" w:eastAsia="Times New Roman" w:hAnsi="Arial" w:cs="Arial"/>
                <w:color w:val="000000"/>
                <w:sz w:val="16"/>
                <w:szCs w:val="16"/>
                <w:lang w:eastAsia="hr-HR"/>
              </w:rPr>
              <w:t>10,232</w:t>
            </w:r>
          </w:p>
        </w:tc>
        <w:tc>
          <w:tcPr>
            <w:tcW w:w="1040" w:type="dxa"/>
            <w:tcBorders>
              <w:top w:val="nil"/>
              <w:left w:val="nil"/>
              <w:bottom w:val="single" w:sz="4" w:space="0" w:color="000080"/>
              <w:right w:val="single" w:sz="4" w:space="0" w:color="000080"/>
            </w:tcBorders>
            <w:shd w:val="clear" w:color="auto" w:fill="auto"/>
            <w:noWrap/>
            <w:vAlign w:val="center"/>
            <w:hideMark/>
          </w:tcPr>
          <w:p w:rsidR="00E933E0" w:rsidRPr="00C46995" w:rsidRDefault="00E933E0" w:rsidP="00E933E0">
            <w:pPr>
              <w:spacing w:after="0" w:line="240" w:lineRule="auto"/>
              <w:jc w:val="right"/>
              <w:rPr>
                <w:rFonts w:ascii="Arial" w:eastAsia="Times New Roman" w:hAnsi="Arial" w:cs="Arial"/>
                <w:color w:val="000000"/>
                <w:sz w:val="16"/>
                <w:szCs w:val="16"/>
                <w:lang w:eastAsia="hr-HR"/>
              </w:rPr>
            </w:pPr>
            <w:r w:rsidRPr="00C46995">
              <w:rPr>
                <w:rFonts w:ascii="Arial" w:eastAsia="Times New Roman" w:hAnsi="Arial" w:cs="Arial"/>
                <w:color w:val="000000"/>
                <w:sz w:val="16"/>
                <w:szCs w:val="16"/>
                <w:lang w:eastAsia="hr-HR"/>
              </w:rPr>
              <w:t>4,291</w:t>
            </w:r>
          </w:p>
        </w:tc>
        <w:tc>
          <w:tcPr>
            <w:tcW w:w="1040" w:type="dxa"/>
            <w:tcBorders>
              <w:top w:val="nil"/>
              <w:left w:val="nil"/>
              <w:bottom w:val="single" w:sz="4" w:space="0" w:color="000080"/>
              <w:right w:val="single" w:sz="4" w:space="0" w:color="000080"/>
            </w:tcBorders>
            <w:shd w:val="clear" w:color="auto" w:fill="auto"/>
            <w:noWrap/>
            <w:vAlign w:val="center"/>
            <w:hideMark/>
          </w:tcPr>
          <w:p w:rsidR="00E933E0" w:rsidRPr="00C46995" w:rsidRDefault="00896312" w:rsidP="00E933E0">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00E933E0" w:rsidRPr="00C46995">
              <w:rPr>
                <w:rFonts w:ascii="Arial" w:eastAsia="Times New Roman" w:hAnsi="Arial" w:cs="Arial"/>
                <w:color w:val="000000"/>
                <w:sz w:val="16"/>
                <w:szCs w:val="16"/>
                <w:lang w:eastAsia="hr-HR"/>
              </w:rPr>
              <w:t>,725</w:t>
            </w:r>
          </w:p>
        </w:tc>
        <w:tc>
          <w:tcPr>
            <w:tcW w:w="1040" w:type="dxa"/>
            <w:tcBorders>
              <w:top w:val="nil"/>
              <w:left w:val="nil"/>
              <w:bottom w:val="single" w:sz="4" w:space="0" w:color="000080"/>
              <w:right w:val="single" w:sz="4" w:space="0" w:color="000080"/>
            </w:tcBorders>
            <w:shd w:val="clear" w:color="auto" w:fill="auto"/>
            <w:noWrap/>
            <w:vAlign w:val="center"/>
            <w:hideMark/>
          </w:tcPr>
          <w:p w:rsidR="00E933E0" w:rsidRPr="00C46995" w:rsidRDefault="00896312" w:rsidP="00E933E0">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00E933E0" w:rsidRPr="00C46995">
              <w:rPr>
                <w:rFonts w:ascii="Arial" w:eastAsia="Times New Roman" w:hAnsi="Arial" w:cs="Arial"/>
                <w:color w:val="000000"/>
                <w:sz w:val="16"/>
                <w:szCs w:val="16"/>
                <w:lang w:eastAsia="hr-HR"/>
              </w:rPr>
              <w:t>,203</w:t>
            </w:r>
          </w:p>
        </w:tc>
        <w:tc>
          <w:tcPr>
            <w:tcW w:w="1106" w:type="dxa"/>
            <w:tcBorders>
              <w:top w:val="nil"/>
              <w:left w:val="nil"/>
              <w:bottom w:val="single" w:sz="4" w:space="0" w:color="000080"/>
              <w:right w:val="single" w:sz="4" w:space="0" w:color="000080"/>
            </w:tcBorders>
            <w:shd w:val="clear" w:color="auto" w:fill="auto"/>
            <w:noWrap/>
            <w:vAlign w:val="center"/>
            <w:hideMark/>
          </w:tcPr>
          <w:p w:rsidR="00E933E0" w:rsidRPr="00C46995" w:rsidRDefault="00E933E0" w:rsidP="00E933E0">
            <w:pPr>
              <w:spacing w:after="0" w:line="240" w:lineRule="auto"/>
              <w:jc w:val="right"/>
              <w:rPr>
                <w:rFonts w:ascii="Arial" w:eastAsia="Times New Roman" w:hAnsi="Arial" w:cs="Arial"/>
                <w:color w:val="000000"/>
                <w:sz w:val="16"/>
                <w:szCs w:val="16"/>
                <w:lang w:eastAsia="hr-HR"/>
              </w:rPr>
            </w:pPr>
            <w:r w:rsidRPr="00C46995">
              <w:rPr>
                <w:rFonts w:ascii="Arial" w:eastAsia="Times New Roman" w:hAnsi="Arial" w:cs="Arial"/>
                <w:color w:val="000000"/>
                <w:sz w:val="16"/>
                <w:szCs w:val="16"/>
                <w:lang w:eastAsia="hr-HR"/>
              </w:rPr>
              <w:t>2,05</w:t>
            </w:r>
            <w:r w:rsidR="008A00B8" w:rsidRPr="00C46995">
              <w:rPr>
                <w:rFonts w:ascii="Arial" w:eastAsia="Times New Roman" w:hAnsi="Arial" w:cs="Arial"/>
                <w:color w:val="000000"/>
                <w:sz w:val="16"/>
                <w:szCs w:val="16"/>
                <w:lang w:eastAsia="hr-HR"/>
              </w:rPr>
              <w:t>0</w:t>
            </w:r>
          </w:p>
        </w:tc>
        <w:tc>
          <w:tcPr>
            <w:tcW w:w="1052" w:type="dxa"/>
            <w:tcBorders>
              <w:top w:val="nil"/>
              <w:left w:val="nil"/>
              <w:bottom w:val="single" w:sz="4" w:space="0" w:color="000080"/>
              <w:right w:val="single" w:sz="4" w:space="0" w:color="000080"/>
            </w:tcBorders>
            <w:shd w:val="clear" w:color="auto" w:fill="auto"/>
            <w:noWrap/>
            <w:vAlign w:val="center"/>
            <w:hideMark/>
          </w:tcPr>
          <w:p w:rsidR="00E933E0" w:rsidRPr="00C46995" w:rsidRDefault="00E933E0" w:rsidP="00E933E0">
            <w:pPr>
              <w:spacing w:after="0" w:line="240" w:lineRule="auto"/>
              <w:jc w:val="right"/>
              <w:rPr>
                <w:rFonts w:ascii="Arial" w:eastAsia="Times New Roman" w:hAnsi="Arial" w:cs="Arial"/>
                <w:color w:val="000000"/>
                <w:sz w:val="16"/>
                <w:szCs w:val="16"/>
                <w:lang w:eastAsia="hr-HR"/>
              </w:rPr>
            </w:pPr>
            <w:r w:rsidRPr="00C46995">
              <w:rPr>
                <w:rFonts w:ascii="Arial" w:eastAsia="Times New Roman" w:hAnsi="Arial" w:cs="Arial"/>
                <w:color w:val="000000"/>
                <w:sz w:val="16"/>
                <w:szCs w:val="16"/>
                <w:lang w:eastAsia="hr-HR"/>
              </w:rPr>
              <w:t>2,964</w:t>
            </w:r>
          </w:p>
        </w:tc>
      </w:tr>
    </w:tbl>
    <w:p w:rsidR="007607E2" w:rsidRDefault="007607E2" w:rsidP="007607E2">
      <w:pPr>
        <w:shd w:val="clear" w:color="auto" w:fill="FFFFFF"/>
        <w:spacing w:after="0" w:line="240" w:lineRule="auto"/>
        <w:ind w:firstLine="360"/>
        <w:jc w:val="both"/>
        <w:rPr>
          <w:rFonts w:ascii="Times New Roman" w:hAnsi="Times New Roman" w:cs="Times New Roman"/>
          <w:u w:val="single"/>
        </w:rPr>
      </w:pPr>
    </w:p>
    <w:p w:rsidR="007607E2" w:rsidRPr="007607E2" w:rsidRDefault="007607E2" w:rsidP="007607E2">
      <w:pPr>
        <w:shd w:val="clear" w:color="auto" w:fill="FFFFFF"/>
        <w:spacing w:after="0" w:line="240" w:lineRule="auto"/>
        <w:ind w:firstLine="360"/>
        <w:jc w:val="both"/>
        <w:rPr>
          <w:rFonts w:ascii="Times New Roman" w:hAnsi="Times New Roman" w:cs="Times New Roman"/>
          <w:u w:val="single"/>
        </w:rPr>
      </w:pPr>
      <w:r w:rsidRPr="00FA7F54">
        <w:rPr>
          <w:rFonts w:ascii="Times New Roman" w:hAnsi="Times New Roman" w:cs="Times New Roman"/>
          <w:u w:val="single"/>
        </w:rPr>
        <w:t>Mjere za smanjenj</w:t>
      </w:r>
      <w:r>
        <w:rPr>
          <w:rFonts w:ascii="Times New Roman" w:hAnsi="Times New Roman" w:cs="Times New Roman"/>
          <w:u w:val="single"/>
        </w:rPr>
        <w:t>e odnosno optimizaciju rashoda:</w:t>
      </w:r>
    </w:p>
    <w:p w:rsidR="00A74B5C" w:rsidRPr="00A74B5C" w:rsidRDefault="00A74B5C" w:rsidP="00081C90">
      <w:pPr>
        <w:pStyle w:val="Odlomakpopisa"/>
        <w:numPr>
          <w:ilvl w:val="0"/>
          <w:numId w:val="18"/>
        </w:numPr>
        <w:spacing w:line="240" w:lineRule="auto"/>
        <w:ind w:left="0" w:firstLine="360"/>
        <w:jc w:val="both"/>
        <w:rPr>
          <w:rFonts w:ascii="Times New Roman" w:hAnsi="Times New Roman" w:cs="Times New Roman"/>
        </w:rPr>
      </w:pPr>
      <w:r w:rsidRPr="00FA7F54">
        <w:rPr>
          <w:rFonts w:ascii="Times New Roman" w:hAnsi="Times New Roman" w:cs="Times New Roman"/>
        </w:rPr>
        <w:t xml:space="preserve">Procjena </w:t>
      </w:r>
      <w:r w:rsidRPr="00FA7F54">
        <w:rPr>
          <w:rFonts w:ascii="Times New Roman" w:eastAsia="Times New Roman" w:hAnsi="Times New Roman"/>
          <w:lang w:eastAsia="hr-HR"/>
        </w:rPr>
        <w:t>učinkovitog i djelotvornog funkcioniranja sustava financijskog upravljanja i kontrola</w:t>
      </w:r>
      <w:r w:rsidRPr="00FA7F54">
        <w:rPr>
          <w:rFonts w:ascii="Times New Roman" w:hAnsi="Times New Roman" w:cs="Times New Roman"/>
        </w:rPr>
        <w:t>: izračun prosječnih</w:t>
      </w:r>
      <w:r w:rsidR="007A4038">
        <w:rPr>
          <w:rFonts w:ascii="Times New Roman" w:hAnsi="Times New Roman" w:cs="Times New Roman"/>
        </w:rPr>
        <w:t xml:space="preserve"> mjesečnih</w:t>
      </w:r>
      <w:r w:rsidRPr="00FA7F54">
        <w:rPr>
          <w:rFonts w:ascii="Times New Roman" w:hAnsi="Times New Roman" w:cs="Times New Roman"/>
        </w:rPr>
        <w:t xml:space="preserve"> troškova za </w:t>
      </w:r>
      <w:r>
        <w:rPr>
          <w:rFonts w:ascii="Times New Roman" w:hAnsi="Times New Roman" w:cs="Times New Roman"/>
        </w:rPr>
        <w:t>promidžbu i informiranje po zaposleniku.</w:t>
      </w:r>
    </w:p>
    <w:p w:rsidR="007607E2" w:rsidRPr="007607E2" w:rsidRDefault="007607E2" w:rsidP="00081C90">
      <w:pPr>
        <w:pStyle w:val="Odlomakpopisa"/>
        <w:numPr>
          <w:ilvl w:val="0"/>
          <w:numId w:val="18"/>
        </w:numPr>
        <w:spacing w:line="240" w:lineRule="auto"/>
        <w:ind w:left="0" w:firstLine="360"/>
        <w:jc w:val="both"/>
        <w:rPr>
          <w:rFonts w:ascii="Times New Roman" w:hAnsi="Times New Roman" w:cs="Times New Roman"/>
        </w:rPr>
      </w:pPr>
      <w:r w:rsidRPr="007607E2">
        <w:rPr>
          <w:rFonts w:ascii="Times New Roman" w:hAnsi="Times New Roman" w:cs="Times New Roman"/>
        </w:rPr>
        <w:t>U radnoj skupini</w:t>
      </w:r>
      <w:r>
        <w:rPr>
          <w:rFonts w:ascii="Times New Roman" w:hAnsi="Times New Roman" w:cs="Times New Roman"/>
        </w:rPr>
        <w:t xml:space="preserve"> analizirati usluge promidžbe i informiranja te</w:t>
      </w:r>
      <w:r w:rsidRPr="007607E2">
        <w:rPr>
          <w:rFonts w:ascii="Times New Roman" w:hAnsi="Times New Roman" w:cs="Times New Roman"/>
        </w:rPr>
        <w:t xml:space="preserve"> prezentirati primjere dobre prakse </w:t>
      </w:r>
      <w:r>
        <w:rPr>
          <w:rFonts w:ascii="Times New Roman" w:hAnsi="Times New Roman" w:cs="Times New Roman"/>
        </w:rPr>
        <w:t>upravljanja ovim troškovima.</w:t>
      </w:r>
    </w:p>
    <w:p w:rsidR="00A447ED" w:rsidRPr="00FA7F54" w:rsidRDefault="007E29B9" w:rsidP="00A447ED">
      <w:pPr>
        <w:pStyle w:val="Naslov2"/>
        <w:rPr>
          <w:rFonts w:ascii="Times New Roman" w:hAnsi="Times New Roman" w:cs="Times New Roman"/>
          <w:color w:val="auto"/>
          <w:sz w:val="22"/>
          <w:szCs w:val="22"/>
        </w:rPr>
      </w:pPr>
      <w:bookmarkStart w:id="81" w:name="_Toc434411191"/>
      <w:bookmarkStart w:id="82" w:name="_Toc436402334"/>
      <w:r w:rsidRPr="00FA7F54">
        <w:rPr>
          <w:rFonts w:ascii="Times New Roman" w:hAnsi="Times New Roman" w:cs="Times New Roman"/>
          <w:color w:val="auto"/>
          <w:sz w:val="22"/>
          <w:szCs w:val="22"/>
        </w:rPr>
        <w:t>KOMUNALNE USLUGE</w:t>
      </w:r>
      <w:r w:rsidR="00BB3DBE" w:rsidRPr="00FA7F54">
        <w:rPr>
          <w:rFonts w:ascii="Times New Roman" w:hAnsi="Times New Roman" w:cs="Times New Roman"/>
          <w:color w:val="auto"/>
          <w:sz w:val="22"/>
          <w:szCs w:val="22"/>
        </w:rPr>
        <w:t xml:space="preserve"> (3234</w:t>
      </w:r>
      <w:r w:rsidR="00A447ED" w:rsidRPr="00FA7F54">
        <w:rPr>
          <w:rFonts w:ascii="Times New Roman" w:hAnsi="Times New Roman" w:cs="Times New Roman"/>
          <w:color w:val="auto"/>
          <w:sz w:val="22"/>
          <w:szCs w:val="22"/>
        </w:rPr>
        <w:t>)</w:t>
      </w:r>
      <w:bookmarkEnd w:id="81"/>
      <w:bookmarkEnd w:id="82"/>
    </w:p>
    <w:p w:rsidR="007A3450" w:rsidRPr="00FA7F54" w:rsidRDefault="007A3450" w:rsidP="007A3450">
      <w:pPr>
        <w:spacing w:line="240" w:lineRule="auto"/>
        <w:jc w:val="both"/>
        <w:rPr>
          <w:rFonts w:ascii="Times New Roman" w:hAnsi="Times New Roman" w:cs="Times New Roman"/>
        </w:rPr>
      </w:pPr>
      <w:r w:rsidRPr="00FA7F54">
        <w:rPr>
          <w:rFonts w:ascii="Times New Roman" w:hAnsi="Times New Roman" w:cs="Times New Roman"/>
        </w:rPr>
        <w:t xml:space="preserve">Prema iskazanim podacima u financijskim izvještajima rashodi za komunalne usluge u 2013. godini iznosili su 314,0 mil. kuna, a u 2014. godini 334,6 mil. kuna. U državnom proračunu za 2015. godinu planirano je 244,7 mil. kuna navedenih rashoda od čega se 167,0 mil. </w:t>
      </w:r>
      <w:r w:rsidR="00E06F71">
        <w:rPr>
          <w:rFonts w:ascii="Times New Roman" w:hAnsi="Times New Roman" w:cs="Times New Roman"/>
        </w:rPr>
        <w:t xml:space="preserve">kuna </w:t>
      </w:r>
      <w:r w:rsidRPr="00FA7F54">
        <w:rPr>
          <w:rFonts w:ascii="Times New Roman" w:hAnsi="Times New Roman" w:cs="Times New Roman"/>
        </w:rPr>
        <w:t>financira iz izvora u limitu.</w:t>
      </w:r>
    </w:p>
    <w:p w:rsidR="007A3450" w:rsidRPr="00FA7F54" w:rsidRDefault="007A3450" w:rsidP="006B7B79">
      <w:pPr>
        <w:spacing w:line="240" w:lineRule="auto"/>
        <w:jc w:val="both"/>
        <w:rPr>
          <w:rFonts w:ascii="Times New Roman" w:hAnsi="Times New Roman" w:cs="Times New Roman"/>
        </w:rPr>
      </w:pPr>
      <w:r w:rsidRPr="00FA7F54">
        <w:rPr>
          <w:rFonts w:ascii="Times New Roman" w:hAnsi="Times New Roman" w:cs="Times New Roman"/>
        </w:rPr>
        <w:t>Najveći dio rashoda odnosi se na tijela izvršne vlasti (Ministarstvo znanosti, obrazovanja i sporta, Ministarstvo kulture, MUP).</w:t>
      </w:r>
    </w:p>
    <w:p w:rsidR="00A447ED" w:rsidRPr="00E06F71" w:rsidRDefault="009835A2" w:rsidP="006B7B79">
      <w:pPr>
        <w:pStyle w:val="Opisslike"/>
        <w:spacing w:after="0"/>
        <w:jc w:val="both"/>
        <w:rPr>
          <w:rFonts w:ascii="Times New Roman" w:hAnsi="Times New Roman" w:cs="Times New Roman"/>
          <w:sz w:val="20"/>
          <w:szCs w:val="20"/>
        </w:rPr>
      </w:pPr>
      <w:bookmarkStart w:id="83" w:name="_Toc436402285"/>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38</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416EE9" w:rsidRPr="006B7B79">
        <w:rPr>
          <w:rFonts w:ascii="Times New Roman" w:hAnsi="Times New Roman" w:cs="Times New Roman"/>
          <w:sz w:val="20"/>
          <w:szCs w:val="20"/>
        </w:rPr>
        <w:t xml:space="preserve"> Komunalne usluge prema podacima iskazanim u financijskim izvještajima proračunskih i izvanproračunskih korisnika za 2013. i 2014. godinu te planu Državnog proračuna za 2015. godinu</w:t>
      </w:r>
      <w:bookmarkEnd w:id="83"/>
    </w:p>
    <w:p w:rsidR="00951A0D" w:rsidRPr="00FA7F54" w:rsidRDefault="003E043D" w:rsidP="006B7B79">
      <w:pPr>
        <w:spacing w:line="240" w:lineRule="auto"/>
        <w:jc w:val="both"/>
        <w:rPr>
          <w:rFonts w:ascii="Times New Roman" w:hAnsi="Times New Roman" w:cs="Times New Roman"/>
        </w:rPr>
      </w:pPr>
      <w:r w:rsidRPr="003E043D">
        <w:rPr>
          <w:noProof/>
          <w:lang w:eastAsia="hr-HR"/>
        </w:rPr>
        <w:drawing>
          <wp:inline distT="0" distB="0" distL="0" distR="0" wp14:anchorId="32CB46D7" wp14:editId="3B697528">
            <wp:extent cx="5760720" cy="2837717"/>
            <wp:effectExtent l="0" t="0" r="0" b="127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2837717"/>
                    </a:xfrm>
                    <a:prstGeom prst="rect">
                      <a:avLst/>
                    </a:prstGeom>
                    <a:noFill/>
                    <a:ln>
                      <a:noFill/>
                    </a:ln>
                  </pic:spPr>
                </pic:pic>
              </a:graphicData>
            </a:graphic>
          </wp:inline>
        </w:drawing>
      </w:r>
    </w:p>
    <w:p w:rsidR="00D035CE" w:rsidRDefault="00D035CE" w:rsidP="00C768B6">
      <w:pPr>
        <w:pStyle w:val="Opisslike"/>
        <w:spacing w:after="0"/>
        <w:rPr>
          <w:sz w:val="20"/>
          <w:szCs w:val="20"/>
        </w:rPr>
      </w:pPr>
    </w:p>
    <w:p w:rsidR="002C73F5" w:rsidRDefault="002C73F5" w:rsidP="006B7B79">
      <w:pPr>
        <w:pStyle w:val="Opisslike"/>
        <w:spacing w:after="0"/>
        <w:jc w:val="both"/>
        <w:rPr>
          <w:rFonts w:ascii="Times New Roman" w:hAnsi="Times New Roman" w:cs="Times New Roman"/>
          <w:sz w:val="20"/>
          <w:szCs w:val="20"/>
        </w:rPr>
      </w:pPr>
    </w:p>
    <w:p w:rsidR="002C73F5" w:rsidRDefault="002C73F5" w:rsidP="006B7B79">
      <w:pPr>
        <w:pStyle w:val="Opisslike"/>
        <w:spacing w:after="0"/>
        <w:jc w:val="both"/>
        <w:rPr>
          <w:rFonts w:ascii="Times New Roman" w:hAnsi="Times New Roman" w:cs="Times New Roman"/>
          <w:sz w:val="20"/>
          <w:szCs w:val="20"/>
        </w:rPr>
      </w:pPr>
    </w:p>
    <w:p w:rsidR="002C73F5" w:rsidRDefault="002C73F5" w:rsidP="006B7B79">
      <w:pPr>
        <w:pStyle w:val="Opisslike"/>
        <w:spacing w:after="0"/>
        <w:jc w:val="both"/>
        <w:rPr>
          <w:rFonts w:ascii="Times New Roman" w:hAnsi="Times New Roman" w:cs="Times New Roman"/>
          <w:sz w:val="20"/>
          <w:szCs w:val="20"/>
        </w:rPr>
      </w:pPr>
    </w:p>
    <w:p w:rsidR="002C73F5" w:rsidRDefault="002C73F5" w:rsidP="006B7B79">
      <w:pPr>
        <w:pStyle w:val="Opisslike"/>
        <w:spacing w:after="0"/>
        <w:jc w:val="both"/>
        <w:rPr>
          <w:rFonts w:ascii="Times New Roman" w:hAnsi="Times New Roman" w:cs="Times New Roman"/>
          <w:sz w:val="20"/>
          <w:szCs w:val="20"/>
        </w:rPr>
      </w:pPr>
    </w:p>
    <w:p w:rsidR="002C73F5" w:rsidRDefault="002C73F5" w:rsidP="006B7B79">
      <w:pPr>
        <w:pStyle w:val="Opisslike"/>
        <w:spacing w:after="0"/>
        <w:jc w:val="both"/>
        <w:rPr>
          <w:rFonts w:ascii="Times New Roman" w:hAnsi="Times New Roman" w:cs="Times New Roman"/>
          <w:sz w:val="20"/>
          <w:szCs w:val="20"/>
        </w:rPr>
      </w:pPr>
    </w:p>
    <w:p w:rsidR="002C73F5" w:rsidRDefault="002C73F5" w:rsidP="006B7B79">
      <w:pPr>
        <w:pStyle w:val="Opisslike"/>
        <w:spacing w:after="0"/>
        <w:jc w:val="both"/>
        <w:rPr>
          <w:rFonts w:ascii="Times New Roman" w:hAnsi="Times New Roman" w:cs="Times New Roman"/>
          <w:sz w:val="20"/>
          <w:szCs w:val="20"/>
        </w:rPr>
      </w:pPr>
    </w:p>
    <w:p w:rsidR="00951A0D" w:rsidRPr="00E06F71" w:rsidRDefault="009835A2" w:rsidP="006B7B79">
      <w:pPr>
        <w:pStyle w:val="Opisslike"/>
        <w:spacing w:after="0"/>
        <w:jc w:val="both"/>
        <w:rPr>
          <w:rFonts w:ascii="Times New Roman" w:hAnsi="Times New Roman" w:cs="Times New Roman"/>
          <w:sz w:val="20"/>
          <w:szCs w:val="20"/>
        </w:rPr>
      </w:pPr>
      <w:bookmarkStart w:id="84" w:name="_Toc436402286"/>
      <w:r w:rsidRPr="006B7B79">
        <w:rPr>
          <w:rFonts w:ascii="Times New Roman" w:hAnsi="Times New Roman" w:cs="Times New Roman"/>
          <w:sz w:val="20"/>
          <w:szCs w:val="20"/>
        </w:rPr>
        <w:lastRenderedPageBreak/>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39</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C768B6" w:rsidRPr="006B7B79">
        <w:rPr>
          <w:rFonts w:ascii="Times New Roman" w:hAnsi="Times New Roman" w:cs="Times New Roman"/>
          <w:sz w:val="20"/>
          <w:szCs w:val="20"/>
        </w:rPr>
        <w:t xml:space="preserve"> Komunalne usluge prema podacima iskazanim u državnom proračunu – izvršenje za 2014. (u mil.</w:t>
      </w:r>
      <w:r w:rsidR="00E06F71">
        <w:rPr>
          <w:rFonts w:ascii="Times New Roman" w:hAnsi="Times New Roman" w:cs="Times New Roman"/>
          <w:sz w:val="20"/>
          <w:szCs w:val="20"/>
        </w:rPr>
        <w:t xml:space="preserve"> kuna</w:t>
      </w:r>
      <w:r w:rsidR="00C768B6" w:rsidRPr="006B7B79">
        <w:rPr>
          <w:rFonts w:ascii="Times New Roman" w:hAnsi="Times New Roman" w:cs="Times New Roman"/>
          <w:sz w:val="20"/>
          <w:szCs w:val="20"/>
        </w:rPr>
        <w:t>)</w:t>
      </w:r>
      <w:bookmarkEnd w:id="84"/>
    </w:p>
    <w:tbl>
      <w:tblPr>
        <w:tblW w:w="8160" w:type="dxa"/>
        <w:jc w:val="center"/>
        <w:tblInd w:w="93" w:type="dxa"/>
        <w:tblLook w:val="04A0" w:firstRow="1" w:lastRow="0" w:firstColumn="1" w:lastColumn="0" w:noHBand="0" w:noVBand="1"/>
      </w:tblPr>
      <w:tblGrid>
        <w:gridCol w:w="1356"/>
        <w:gridCol w:w="1088"/>
        <w:gridCol w:w="951"/>
        <w:gridCol w:w="953"/>
        <w:gridCol w:w="1088"/>
        <w:gridCol w:w="1186"/>
        <w:gridCol w:w="949"/>
        <w:gridCol w:w="999"/>
      </w:tblGrid>
      <w:tr w:rsidR="00951A0D" w:rsidRPr="009F527F" w:rsidTr="00E06F71">
        <w:trPr>
          <w:trHeight w:val="1110"/>
          <w:jc w:val="center"/>
        </w:trPr>
        <w:tc>
          <w:tcPr>
            <w:tcW w:w="1356"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951A0D" w:rsidRPr="009F527F" w:rsidRDefault="00951A0D" w:rsidP="00E06F71">
            <w:pPr>
              <w:spacing w:after="0" w:line="240" w:lineRule="auto"/>
              <w:jc w:val="center"/>
              <w:rPr>
                <w:rFonts w:ascii="Arial" w:eastAsia="Times New Roman" w:hAnsi="Arial" w:cs="Arial"/>
                <w:b/>
                <w:bCs/>
                <w:sz w:val="16"/>
                <w:szCs w:val="16"/>
                <w:lang w:eastAsia="hr-HR"/>
              </w:rPr>
            </w:pPr>
            <w:r w:rsidRPr="009F527F">
              <w:rPr>
                <w:rFonts w:ascii="Arial" w:eastAsia="Times New Roman" w:hAnsi="Arial" w:cs="Arial"/>
                <w:b/>
                <w:bCs/>
                <w:sz w:val="16"/>
                <w:szCs w:val="16"/>
                <w:lang w:eastAsia="hr-HR"/>
              </w:rPr>
              <w:t>Izvršenje 2014.</w:t>
            </w:r>
          </w:p>
        </w:tc>
        <w:tc>
          <w:tcPr>
            <w:tcW w:w="1037" w:type="dxa"/>
            <w:tcBorders>
              <w:top w:val="single" w:sz="4" w:space="0" w:color="000080"/>
              <w:left w:val="nil"/>
              <w:bottom w:val="single" w:sz="4" w:space="0" w:color="000080"/>
              <w:right w:val="single" w:sz="4" w:space="0" w:color="000080"/>
            </w:tcBorders>
            <w:shd w:val="clear" w:color="000000" w:fill="DCE6F1"/>
            <w:vAlign w:val="center"/>
            <w:hideMark/>
          </w:tcPr>
          <w:p w:rsidR="00951A0D" w:rsidRPr="009F527F" w:rsidRDefault="00951A0D" w:rsidP="00E06F71">
            <w:pPr>
              <w:spacing w:after="0" w:line="240" w:lineRule="auto"/>
              <w:jc w:val="center"/>
              <w:rPr>
                <w:rFonts w:ascii="Arial" w:eastAsia="Times New Roman" w:hAnsi="Arial" w:cs="Arial"/>
                <w:b/>
                <w:bCs/>
                <w:color w:val="000000"/>
                <w:sz w:val="16"/>
                <w:szCs w:val="16"/>
                <w:lang w:eastAsia="hr-HR"/>
              </w:rPr>
            </w:pPr>
            <w:r w:rsidRPr="009F527F">
              <w:rPr>
                <w:rFonts w:ascii="Arial" w:eastAsia="Times New Roman" w:hAnsi="Arial" w:cs="Arial"/>
                <w:b/>
                <w:bCs/>
                <w:color w:val="000000"/>
                <w:sz w:val="16"/>
                <w:szCs w:val="16"/>
                <w:lang w:eastAsia="hr-HR"/>
              </w:rPr>
              <w:t>Komunalne usluge</w:t>
            </w:r>
          </w:p>
        </w:tc>
        <w:tc>
          <w:tcPr>
            <w:tcW w:w="951" w:type="dxa"/>
            <w:tcBorders>
              <w:top w:val="single" w:sz="4" w:space="0" w:color="000080"/>
              <w:left w:val="nil"/>
              <w:bottom w:val="single" w:sz="4" w:space="0" w:color="000080"/>
              <w:right w:val="single" w:sz="4" w:space="0" w:color="000080"/>
            </w:tcBorders>
            <w:shd w:val="clear" w:color="000000" w:fill="DCE6F1"/>
            <w:vAlign w:val="center"/>
            <w:hideMark/>
          </w:tcPr>
          <w:p w:rsidR="00951A0D" w:rsidRPr="009F527F" w:rsidRDefault="00951A0D" w:rsidP="00E06F71">
            <w:pPr>
              <w:spacing w:after="0" w:line="240" w:lineRule="auto"/>
              <w:jc w:val="center"/>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Opskrba vodom</w:t>
            </w:r>
          </w:p>
        </w:tc>
        <w:tc>
          <w:tcPr>
            <w:tcW w:w="953" w:type="dxa"/>
            <w:tcBorders>
              <w:top w:val="single" w:sz="4" w:space="0" w:color="000080"/>
              <w:left w:val="nil"/>
              <w:bottom w:val="single" w:sz="4" w:space="0" w:color="000080"/>
              <w:right w:val="single" w:sz="4" w:space="0" w:color="000080"/>
            </w:tcBorders>
            <w:shd w:val="clear" w:color="000000" w:fill="DCE6F1"/>
            <w:vAlign w:val="center"/>
            <w:hideMark/>
          </w:tcPr>
          <w:p w:rsidR="00951A0D" w:rsidRPr="009F527F" w:rsidRDefault="00951A0D" w:rsidP="00E06F71">
            <w:pPr>
              <w:spacing w:after="0" w:line="240" w:lineRule="auto"/>
              <w:jc w:val="center"/>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Iznošenje i odvoz smeća</w:t>
            </w:r>
          </w:p>
        </w:tc>
        <w:tc>
          <w:tcPr>
            <w:tcW w:w="958" w:type="dxa"/>
            <w:tcBorders>
              <w:top w:val="single" w:sz="4" w:space="0" w:color="000080"/>
              <w:left w:val="nil"/>
              <w:bottom w:val="single" w:sz="4" w:space="0" w:color="000080"/>
              <w:right w:val="single" w:sz="4" w:space="0" w:color="000080"/>
            </w:tcBorders>
            <w:shd w:val="clear" w:color="000000" w:fill="DCE6F1"/>
            <w:vAlign w:val="center"/>
            <w:hideMark/>
          </w:tcPr>
          <w:p w:rsidR="00951A0D" w:rsidRPr="009F527F" w:rsidRDefault="00951A0D" w:rsidP="00E06F71">
            <w:pPr>
              <w:spacing w:after="0" w:line="240" w:lineRule="auto"/>
              <w:jc w:val="center"/>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Deratizacija i dezinsekcija</w:t>
            </w:r>
          </w:p>
        </w:tc>
        <w:tc>
          <w:tcPr>
            <w:tcW w:w="1000" w:type="dxa"/>
            <w:tcBorders>
              <w:top w:val="single" w:sz="4" w:space="0" w:color="000080"/>
              <w:left w:val="nil"/>
              <w:bottom w:val="single" w:sz="4" w:space="0" w:color="000080"/>
              <w:right w:val="single" w:sz="4" w:space="0" w:color="000080"/>
            </w:tcBorders>
            <w:shd w:val="clear" w:color="000000" w:fill="DCE6F1"/>
            <w:vAlign w:val="center"/>
            <w:hideMark/>
          </w:tcPr>
          <w:p w:rsidR="00951A0D" w:rsidRPr="009F527F" w:rsidRDefault="00951A0D" w:rsidP="00E06F71">
            <w:pPr>
              <w:spacing w:after="0" w:line="240" w:lineRule="auto"/>
              <w:jc w:val="center"/>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Dimnjačarske i ekološke usluge</w:t>
            </w:r>
          </w:p>
        </w:tc>
        <w:tc>
          <w:tcPr>
            <w:tcW w:w="949" w:type="dxa"/>
            <w:tcBorders>
              <w:top w:val="single" w:sz="4" w:space="0" w:color="000080"/>
              <w:left w:val="nil"/>
              <w:bottom w:val="single" w:sz="4" w:space="0" w:color="000080"/>
              <w:right w:val="single" w:sz="4" w:space="0" w:color="000080"/>
            </w:tcBorders>
            <w:shd w:val="clear" w:color="000000" w:fill="DCE6F1"/>
            <w:vAlign w:val="center"/>
            <w:hideMark/>
          </w:tcPr>
          <w:p w:rsidR="00951A0D" w:rsidRPr="009F527F" w:rsidRDefault="00951A0D" w:rsidP="00E06F71">
            <w:pPr>
              <w:spacing w:after="0" w:line="240" w:lineRule="auto"/>
              <w:jc w:val="center"/>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Pričuva</w:t>
            </w:r>
          </w:p>
        </w:tc>
        <w:tc>
          <w:tcPr>
            <w:tcW w:w="956" w:type="dxa"/>
            <w:tcBorders>
              <w:top w:val="single" w:sz="4" w:space="0" w:color="000080"/>
              <w:left w:val="nil"/>
              <w:bottom w:val="single" w:sz="4" w:space="0" w:color="000080"/>
              <w:right w:val="single" w:sz="4" w:space="0" w:color="000080"/>
            </w:tcBorders>
            <w:shd w:val="clear" w:color="000000" w:fill="DCE6F1"/>
            <w:vAlign w:val="center"/>
            <w:hideMark/>
          </w:tcPr>
          <w:p w:rsidR="00951A0D" w:rsidRPr="009F527F" w:rsidRDefault="00951A0D" w:rsidP="00E06F71">
            <w:pPr>
              <w:spacing w:after="0" w:line="240" w:lineRule="auto"/>
              <w:jc w:val="center"/>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Ostale komunalne usluge</w:t>
            </w:r>
          </w:p>
        </w:tc>
      </w:tr>
      <w:tr w:rsidR="00951A0D" w:rsidRPr="009F527F" w:rsidTr="00E06F71">
        <w:trPr>
          <w:trHeight w:val="300"/>
          <w:jc w:val="center"/>
        </w:trPr>
        <w:tc>
          <w:tcPr>
            <w:tcW w:w="1356" w:type="dxa"/>
            <w:tcBorders>
              <w:top w:val="nil"/>
              <w:left w:val="single" w:sz="4" w:space="0" w:color="000080"/>
              <w:bottom w:val="single" w:sz="4" w:space="0" w:color="000080"/>
              <w:right w:val="single" w:sz="4" w:space="0" w:color="000080"/>
            </w:tcBorders>
            <w:shd w:val="clear" w:color="000000" w:fill="DCE6F1"/>
            <w:noWrap/>
            <w:vAlign w:val="center"/>
            <w:hideMark/>
          </w:tcPr>
          <w:p w:rsidR="00951A0D" w:rsidRPr="009F527F" w:rsidRDefault="00951A0D" w:rsidP="009F527F">
            <w:pPr>
              <w:spacing w:after="0" w:line="240" w:lineRule="auto"/>
              <w:ind w:firstLineChars="200" w:firstLine="320"/>
              <w:rPr>
                <w:rFonts w:ascii="Arial" w:eastAsia="Times New Roman" w:hAnsi="Arial" w:cs="Arial"/>
                <w:sz w:val="16"/>
                <w:szCs w:val="16"/>
                <w:lang w:eastAsia="hr-HR"/>
              </w:rPr>
            </w:pPr>
            <w:r w:rsidRPr="009F527F">
              <w:rPr>
                <w:rFonts w:ascii="Arial" w:eastAsia="Times New Roman" w:hAnsi="Arial" w:cs="Arial"/>
                <w:sz w:val="16"/>
                <w:szCs w:val="16"/>
                <w:lang w:eastAsia="hr-HR"/>
              </w:rPr>
              <w:t>- Ukupno</w:t>
            </w:r>
          </w:p>
        </w:tc>
        <w:tc>
          <w:tcPr>
            <w:tcW w:w="1037" w:type="dxa"/>
            <w:tcBorders>
              <w:top w:val="nil"/>
              <w:left w:val="nil"/>
              <w:bottom w:val="single" w:sz="4" w:space="0" w:color="000080"/>
              <w:right w:val="single" w:sz="4" w:space="0" w:color="000080"/>
            </w:tcBorders>
            <w:shd w:val="clear" w:color="000000" w:fill="DCE6F1"/>
            <w:noWrap/>
            <w:vAlign w:val="center"/>
            <w:hideMark/>
          </w:tcPr>
          <w:p w:rsidR="00951A0D" w:rsidRPr="009F527F" w:rsidRDefault="00951A0D" w:rsidP="00951A0D">
            <w:pPr>
              <w:spacing w:after="0" w:line="240" w:lineRule="auto"/>
              <w:jc w:val="right"/>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219,812</w:t>
            </w:r>
          </w:p>
        </w:tc>
        <w:tc>
          <w:tcPr>
            <w:tcW w:w="951" w:type="dxa"/>
            <w:tcBorders>
              <w:top w:val="nil"/>
              <w:left w:val="nil"/>
              <w:bottom w:val="single" w:sz="4" w:space="0" w:color="000080"/>
              <w:right w:val="single" w:sz="4" w:space="0" w:color="000080"/>
            </w:tcBorders>
            <w:shd w:val="clear" w:color="000000" w:fill="DCE6F1"/>
            <w:noWrap/>
            <w:vAlign w:val="center"/>
            <w:hideMark/>
          </w:tcPr>
          <w:p w:rsidR="00951A0D" w:rsidRPr="009F527F" w:rsidRDefault="00951A0D" w:rsidP="00951A0D">
            <w:pPr>
              <w:spacing w:after="0" w:line="240" w:lineRule="auto"/>
              <w:jc w:val="right"/>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63,754</w:t>
            </w:r>
          </w:p>
        </w:tc>
        <w:tc>
          <w:tcPr>
            <w:tcW w:w="953" w:type="dxa"/>
            <w:tcBorders>
              <w:top w:val="nil"/>
              <w:left w:val="nil"/>
              <w:bottom w:val="single" w:sz="4" w:space="0" w:color="000080"/>
              <w:right w:val="single" w:sz="4" w:space="0" w:color="000080"/>
            </w:tcBorders>
            <w:shd w:val="clear" w:color="000000" w:fill="DCE6F1"/>
            <w:noWrap/>
            <w:vAlign w:val="center"/>
            <w:hideMark/>
          </w:tcPr>
          <w:p w:rsidR="00951A0D" w:rsidRPr="009F527F" w:rsidRDefault="00951A0D" w:rsidP="00951A0D">
            <w:pPr>
              <w:spacing w:after="0" w:line="240" w:lineRule="auto"/>
              <w:jc w:val="right"/>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21,158</w:t>
            </w:r>
          </w:p>
        </w:tc>
        <w:tc>
          <w:tcPr>
            <w:tcW w:w="958" w:type="dxa"/>
            <w:tcBorders>
              <w:top w:val="nil"/>
              <w:left w:val="nil"/>
              <w:bottom w:val="single" w:sz="4" w:space="0" w:color="000080"/>
              <w:right w:val="single" w:sz="4" w:space="0" w:color="000080"/>
            </w:tcBorders>
            <w:shd w:val="clear" w:color="000000" w:fill="DCE6F1"/>
            <w:noWrap/>
            <w:vAlign w:val="center"/>
            <w:hideMark/>
          </w:tcPr>
          <w:p w:rsidR="00951A0D" w:rsidRPr="009F527F" w:rsidRDefault="00951A0D" w:rsidP="00951A0D">
            <w:pPr>
              <w:spacing w:after="0" w:line="240" w:lineRule="auto"/>
              <w:jc w:val="right"/>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3,885</w:t>
            </w:r>
          </w:p>
        </w:tc>
        <w:tc>
          <w:tcPr>
            <w:tcW w:w="1000" w:type="dxa"/>
            <w:tcBorders>
              <w:top w:val="nil"/>
              <w:left w:val="nil"/>
              <w:bottom w:val="single" w:sz="4" w:space="0" w:color="000080"/>
              <w:right w:val="single" w:sz="4" w:space="0" w:color="000080"/>
            </w:tcBorders>
            <w:shd w:val="clear" w:color="000000" w:fill="DCE6F1"/>
            <w:noWrap/>
            <w:vAlign w:val="center"/>
            <w:hideMark/>
          </w:tcPr>
          <w:p w:rsidR="00951A0D" w:rsidRPr="009F527F" w:rsidRDefault="00951A0D" w:rsidP="00951A0D">
            <w:pPr>
              <w:spacing w:after="0" w:line="240" w:lineRule="auto"/>
              <w:jc w:val="right"/>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4,251</w:t>
            </w:r>
          </w:p>
        </w:tc>
        <w:tc>
          <w:tcPr>
            <w:tcW w:w="949" w:type="dxa"/>
            <w:tcBorders>
              <w:top w:val="nil"/>
              <w:left w:val="nil"/>
              <w:bottom w:val="single" w:sz="4" w:space="0" w:color="000080"/>
              <w:right w:val="single" w:sz="4" w:space="0" w:color="000080"/>
            </w:tcBorders>
            <w:shd w:val="clear" w:color="000000" w:fill="DCE6F1"/>
            <w:noWrap/>
            <w:vAlign w:val="center"/>
            <w:hideMark/>
          </w:tcPr>
          <w:p w:rsidR="00951A0D" w:rsidRPr="009F527F" w:rsidRDefault="00951A0D" w:rsidP="00951A0D">
            <w:pPr>
              <w:spacing w:after="0" w:line="240" w:lineRule="auto"/>
              <w:jc w:val="right"/>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31,823</w:t>
            </w:r>
          </w:p>
        </w:tc>
        <w:tc>
          <w:tcPr>
            <w:tcW w:w="956" w:type="dxa"/>
            <w:tcBorders>
              <w:top w:val="nil"/>
              <w:left w:val="nil"/>
              <w:bottom w:val="single" w:sz="4" w:space="0" w:color="000080"/>
              <w:right w:val="single" w:sz="4" w:space="0" w:color="000080"/>
            </w:tcBorders>
            <w:shd w:val="clear" w:color="000000" w:fill="DCE6F1"/>
            <w:noWrap/>
            <w:vAlign w:val="center"/>
            <w:hideMark/>
          </w:tcPr>
          <w:p w:rsidR="00951A0D" w:rsidRPr="009F527F" w:rsidRDefault="00951A0D" w:rsidP="00951A0D">
            <w:pPr>
              <w:spacing w:after="0" w:line="240" w:lineRule="auto"/>
              <w:jc w:val="right"/>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94,941</w:t>
            </w:r>
          </w:p>
        </w:tc>
      </w:tr>
      <w:tr w:rsidR="00951A0D" w:rsidRPr="009F527F" w:rsidTr="00E06F71">
        <w:trPr>
          <w:trHeight w:val="300"/>
          <w:jc w:val="center"/>
        </w:trPr>
        <w:tc>
          <w:tcPr>
            <w:tcW w:w="1356" w:type="dxa"/>
            <w:tcBorders>
              <w:top w:val="nil"/>
              <w:left w:val="single" w:sz="4" w:space="0" w:color="000080"/>
              <w:bottom w:val="single" w:sz="4" w:space="0" w:color="000080"/>
              <w:right w:val="single" w:sz="4" w:space="0" w:color="000080"/>
            </w:tcBorders>
            <w:shd w:val="clear" w:color="auto" w:fill="auto"/>
            <w:noWrap/>
            <w:vAlign w:val="center"/>
            <w:hideMark/>
          </w:tcPr>
          <w:p w:rsidR="00951A0D" w:rsidRPr="009F527F" w:rsidRDefault="00951A0D" w:rsidP="009F527F">
            <w:pPr>
              <w:spacing w:after="0" w:line="240" w:lineRule="auto"/>
              <w:ind w:firstLineChars="200" w:firstLine="320"/>
              <w:rPr>
                <w:rFonts w:ascii="Arial" w:eastAsia="Times New Roman" w:hAnsi="Arial" w:cs="Arial"/>
                <w:sz w:val="16"/>
                <w:szCs w:val="16"/>
                <w:lang w:eastAsia="hr-HR"/>
              </w:rPr>
            </w:pPr>
            <w:r w:rsidRPr="009F527F">
              <w:rPr>
                <w:rFonts w:ascii="Arial" w:eastAsia="Times New Roman" w:hAnsi="Arial" w:cs="Arial"/>
                <w:sz w:val="16"/>
                <w:szCs w:val="16"/>
                <w:lang w:eastAsia="hr-HR"/>
              </w:rPr>
              <w:t>- 1+2+8</w:t>
            </w:r>
          </w:p>
        </w:tc>
        <w:tc>
          <w:tcPr>
            <w:tcW w:w="1037" w:type="dxa"/>
            <w:tcBorders>
              <w:top w:val="nil"/>
              <w:left w:val="nil"/>
              <w:bottom w:val="single" w:sz="4" w:space="0" w:color="000080"/>
              <w:right w:val="single" w:sz="4" w:space="0" w:color="000080"/>
            </w:tcBorders>
            <w:shd w:val="clear" w:color="auto" w:fill="auto"/>
            <w:noWrap/>
            <w:vAlign w:val="center"/>
            <w:hideMark/>
          </w:tcPr>
          <w:p w:rsidR="00951A0D" w:rsidRPr="009F527F" w:rsidRDefault="00951A0D" w:rsidP="00951A0D">
            <w:pPr>
              <w:spacing w:after="0" w:line="240" w:lineRule="auto"/>
              <w:jc w:val="right"/>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186,912</w:t>
            </w:r>
          </w:p>
        </w:tc>
        <w:tc>
          <w:tcPr>
            <w:tcW w:w="951" w:type="dxa"/>
            <w:tcBorders>
              <w:top w:val="nil"/>
              <w:left w:val="nil"/>
              <w:bottom w:val="single" w:sz="4" w:space="0" w:color="000080"/>
              <w:right w:val="single" w:sz="4" w:space="0" w:color="000080"/>
            </w:tcBorders>
            <w:shd w:val="clear" w:color="auto" w:fill="auto"/>
            <w:noWrap/>
            <w:vAlign w:val="center"/>
            <w:hideMark/>
          </w:tcPr>
          <w:p w:rsidR="00951A0D" w:rsidRPr="009F527F" w:rsidRDefault="00951A0D" w:rsidP="00951A0D">
            <w:pPr>
              <w:spacing w:after="0" w:line="240" w:lineRule="auto"/>
              <w:jc w:val="right"/>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60,958</w:t>
            </w:r>
          </w:p>
        </w:tc>
        <w:tc>
          <w:tcPr>
            <w:tcW w:w="953" w:type="dxa"/>
            <w:tcBorders>
              <w:top w:val="nil"/>
              <w:left w:val="nil"/>
              <w:bottom w:val="single" w:sz="4" w:space="0" w:color="000080"/>
              <w:right w:val="single" w:sz="4" w:space="0" w:color="000080"/>
            </w:tcBorders>
            <w:shd w:val="clear" w:color="auto" w:fill="auto"/>
            <w:noWrap/>
            <w:vAlign w:val="center"/>
            <w:hideMark/>
          </w:tcPr>
          <w:p w:rsidR="00951A0D" w:rsidRPr="009F527F" w:rsidRDefault="00951A0D" w:rsidP="00951A0D">
            <w:pPr>
              <w:spacing w:after="0" w:line="240" w:lineRule="auto"/>
              <w:jc w:val="right"/>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20,374</w:t>
            </w:r>
          </w:p>
        </w:tc>
        <w:tc>
          <w:tcPr>
            <w:tcW w:w="958" w:type="dxa"/>
            <w:tcBorders>
              <w:top w:val="nil"/>
              <w:left w:val="nil"/>
              <w:bottom w:val="single" w:sz="4" w:space="0" w:color="000080"/>
              <w:right w:val="single" w:sz="4" w:space="0" w:color="000080"/>
            </w:tcBorders>
            <w:shd w:val="clear" w:color="auto" w:fill="auto"/>
            <w:noWrap/>
            <w:vAlign w:val="center"/>
            <w:hideMark/>
          </w:tcPr>
          <w:p w:rsidR="00951A0D" w:rsidRPr="009F527F" w:rsidRDefault="00951A0D" w:rsidP="00951A0D">
            <w:pPr>
              <w:spacing w:after="0" w:line="240" w:lineRule="auto"/>
              <w:jc w:val="right"/>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3,601</w:t>
            </w:r>
          </w:p>
        </w:tc>
        <w:tc>
          <w:tcPr>
            <w:tcW w:w="1000" w:type="dxa"/>
            <w:tcBorders>
              <w:top w:val="nil"/>
              <w:left w:val="nil"/>
              <w:bottom w:val="single" w:sz="4" w:space="0" w:color="000080"/>
              <w:right w:val="single" w:sz="4" w:space="0" w:color="000080"/>
            </w:tcBorders>
            <w:shd w:val="clear" w:color="auto" w:fill="auto"/>
            <w:noWrap/>
            <w:vAlign w:val="center"/>
            <w:hideMark/>
          </w:tcPr>
          <w:p w:rsidR="00951A0D" w:rsidRPr="009F527F" w:rsidRDefault="00951A0D" w:rsidP="00951A0D">
            <w:pPr>
              <w:spacing w:after="0" w:line="240" w:lineRule="auto"/>
              <w:jc w:val="right"/>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4,132</w:t>
            </w:r>
          </w:p>
        </w:tc>
        <w:tc>
          <w:tcPr>
            <w:tcW w:w="949" w:type="dxa"/>
            <w:tcBorders>
              <w:top w:val="nil"/>
              <w:left w:val="nil"/>
              <w:bottom w:val="single" w:sz="4" w:space="0" w:color="000080"/>
              <w:right w:val="single" w:sz="4" w:space="0" w:color="000080"/>
            </w:tcBorders>
            <w:shd w:val="clear" w:color="auto" w:fill="auto"/>
            <w:noWrap/>
            <w:vAlign w:val="center"/>
            <w:hideMark/>
          </w:tcPr>
          <w:p w:rsidR="00951A0D" w:rsidRPr="009F527F" w:rsidRDefault="00951A0D" w:rsidP="00951A0D">
            <w:pPr>
              <w:spacing w:after="0" w:line="240" w:lineRule="auto"/>
              <w:jc w:val="right"/>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31,1</w:t>
            </w:r>
            <w:r w:rsidR="00165B0B" w:rsidRPr="009F527F">
              <w:rPr>
                <w:rFonts w:ascii="Arial" w:eastAsia="Times New Roman" w:hAnsi="Arial" w:cs="Arial"/>
                <w:color w:val="000000"/>
                <w:sz w:val="16"/>
                <w:szCs w:val="16"/>
                <w:lang w:eastAsia="hr-HR"/>
              </w:rPr>
              <w:t>00</w:t>
            </w:r>
          </w:p>
        </w:tc>
        <w:tc>
          <w:tcPr>
            <w:tcW w:w="956" w:type="dxa"/>
            <w:tcBorders>
              <w:top w:val="nil"/>
              <w:left w:val="nil"/>
              <w:bottom w:val="single" w:sz="4" w:space="0" w:color="000080"/>
              <w:right w:val="single" w:sz="4" w:space="0" w:color="000080"/>
            </w:tcBorders>
            <w:shd w:val="clear" w:color="auto" w:fill="auto"/>
            <w:noWrap/>
            <w:vAlign w:val="center"/>
            <w:hideMark/>
          </w:tcPr>
          <w:p w:rsidR="00951A0D" w:rsidRPr="009F527F" w:rsidRDefault="00951A0D" w:rsidP="00951A0D">
            <w:pPr>
              <w:spacing w:after="0" w:line="240" w:lineRule="auto"/>
              <w:jc w:val="right"/>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66,747</w:t>
            </w:r>
          </w:p>
        </w:tc>
      </w:tr>
      <w:tr w:rsidR="00951A0D" w:rsidRPr="009F527F" w:rsidTr="00E06F71">
        <w:trPr>
          <w:trHeight w:val="300"/>
          <w:jc w:val="center"/>
        </w:trPr>
        <w:tc>
          <w:tcPr>
            <w:tcW w:w="1356" w:type="dxa"/>
            <w:tcBorders>
              <w:top w:val="nil"/>
              <w:left w:val="single" w:sz="4" w:space="0" w:color="000080"/>
              <w:bottom w:val="single" w:sz="4" w:space="0" w:color="000080"/>
              <w:right w:val="single" w:sz="4" w:space="0" w:color="000080"/>
            </w:tcBorders>
            <w:shd w:val="clear" w:color="auto" w:fill="auto"/>
            <w:noWrap/>
            <w:vAlign w:val="center"/>
            <w:hideMark/>
          </w:tcPr>
          <w:p w:rsidR="00951A0D" w:rsidRPr="009F527F" w:rsidRDefault="00951A0D" w:rsidP="009F527F">
            <w:pPr>
              <w:spacing w:after="0" w:line="240" w:lineRule="auto"/>
              <w:ind w:firstLineChars="200" w:firstLine="320"/>
              <w:rPr>
                <w:rFonts w:ascii="Arial" w:eastAsia="Times New Roman" w:hAnsi="Arial" w:cs="Arial"/>
                <w:sz w:val="16"/>
                <w:szCs w:val="16"/>
                <w:lang w:eastAsia="hr-HR"/>
              </w:rPr>
            </w:pPr>
            <w:r w:rsidRPr="009F527F">
              <w:rPr>
                <w:rFonts w:ascii="Arial" w:eastAsia="Times New Roman" w:hAnsi="Arial" w:cs="Arial"/>
                <w:sz w:val="16"/>
                <w:szCs w:val="16"/>
                <w:lang w:eastAsia="hr-HR"/>
              </w:rPr>
              <w:t>- ostali izvori</w:t>
            </w:r>
          </w:p>
        </w:tc>
        <w:tc>
          <w:tcPr>
            <w:tcW w:w="1037" w:type="dxa"/>
            <w:tcBorders>
              <w:top w:val="nil"/>
              <w:left w:val="nil"/>
              <w:bottom w:val="single" w:sz="4" w:space="0" w:color="000080"/>
              <w:right w:val="single" w:sz="4" w:space="0" w:color="000080"/>
            </w:tcBorders>
            <w:shd w:val="clear" w:color="auto" w:fill="auto"/>
            <w:noWrap/>
            <w:vAlign w:val="center"/>
            <w:hideMark/>
          </w:tcPr>
          <w:p w:rsidR="00951A0D" w:rsidRPr="009F527F" w:rsidRDefault="00951A0D" w:rsidP="00951A0D">
            <w:pPr>
              <w:spacing w:after="0" w:line="240" w:lineRule="auto"/>
              <w:jc w:val="right"/>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32,9</w:t>
            </w:r>
            <w:r w:rsidR="00165B0B" w:rsidRPr="009F527F">
              <w:rPr>
                <w:rFonts w:ascii="Arial" w:eastAsia="Times New Roman" w:hAnsi="Arial" w:cs="Arial"/>
                <w:color w:val="000000"/>
                <w:sz w:val="16"/>
                <w:szCs w:val="16"/>
                <w:lang w:eastAsia="hr-HR"/>
              </w:rPr>
              <w:t>00</w:t>
            </w:r>
          </w:p>
        </w:tc>
        <w:tc>
          <w:tcPr>
            <w:tcW w:w="951" w:type="dxa"/>
            <w:tcBorders>
              <w:top w:val="nil"/>
              <w:left w:val="nil"/>
              <w:bottom w:val="single" w:sz="4" w:space="0" w:color="000080"/>
              <w:right w:val="single" w:sz="4" w:space="0" w:color="000080"/>
            </w:tcBorders>
            <w:shd w:val="clear" w:color="auto" w:fill="auto"/>
            <w:noWrap/>
            <w:vAlign w:val="center"/>
            <w:hideMark/>
          </w:tcPr>
          <w:p w:rsidR="00951A0D" w:rsidRPr="009F527F" w:rsidRDefault="00951A0D" w:rsidP="00951A0D">
            <w:pPr>
              <w:spacing w:after="0" w:line="240" w:lineRule="auto"/>
              <w:jc w:val="right"/>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2,796</w:t>
            </w:r>
          </w:p>
        </w:tc>
        <w:tc>
          <w:tcPr>
            <w:tcW w:w="953" w:type="dxa"/>
            <w:tcBorders>
              <w:top w:val="nil"/>
              <w:left w:val="nil"/>
              <w:bottom w:val="single" w:sz="4" w:space="0" w:color="000080"/>
              <w:right w:val="single" w:sz="4" w:space="0" w:color="000080"/>
            </w:tcBorders>
            <w:shd w:val="clear" w:color="auto" w:fill="auto"/>
            <w:noWrap/>
            <w:vAlign w:val="center"/>
            <w:hideMark/>
          </w:tcPr>
          <w:p w:rsidR="00951A0D" w:rsidRPr="009F527F" w:rsidRDefault="00165B0B" w:rsidP="00951A0D">
            <w:pPr>
              <w:spacing w:after="0" w:line="240" w:lineRule="auto"/>
              <w:jc w:val="right"/>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0</w:t>
            </w:r>
            <w:r w:rsidR="00951A0D" w:rsidRPr="009F527F">
              <w:rPr>
                <w:rFonts w:ascii="Arial" w:eastAsia="Times New Roman" w:hAnsi="Arial" w:cs="Arial"/>
                <w:color w:val="000000"/>
                <w:sz w:val="16"/>
                <w:szCs w:val="16"/>
                <w:lang w:eastAsia="hr-HR"/>
              </w:rPr>
              <w:t>,784</w:t>
            </w:r>
          </w:p>
        </w:tc>
        <w:tc>
          <w:tcPr>
            <w:tcW w:w="958" w:type="dxa"/>
            <w:tcBorders>
              <w:top w:val="nil"/>
              <w:left w:val="nil"/>
              <w:bottom w:val="single" w:sz="4" w:space="0" w:color="000080"/>
              <w:right w:val="single" w:sz="4" w:space="0" w:color="000080"/>
            </w:tcBorders>
            <w:shd w:val="clear" w:color="auto" w:fill="auto"/>
            <w:noWrap/>
            <w:vAlign w:val="center"/>
            <w:hideMark/>
          </w:tcPr>
          <w:p w:rsidR="00951A0D" w:rsidRPr="009F527F" w:rsidRDefault="00165B0B" w:rsidP="00951A0D">
            <w:pPr>
              <w:spacing w:after="0" w:line="240" w:lineRule="auto"/>
              <w:jc w:val="right"/>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0</w:t>
            </w:r>
            <w:r w:rsidR="00951A0D" w:rsidRPr="009F527F">
              <w:rPr>
                <w:rFonts w:ascii="Arial" w:eastAsia="Times New Roman" w:hAnsi="Arial" w:cs="Arial"/>
                <w:color w:val="000000"/>
                <w:sz w:val="16"/>
                <w:szCs w:val="16"/>
                <w:lang w:eastAsia="hr-HR"/>
              </w:rPr>
              <w:t>,284</w:t>
            </w:r>
          </w:p>
        </w:tc>
        <w:tc>
          <w:tcPr>
            <w:tcW w:w="1000" w:type="dxa"/>
            <w:tcBorders>
              <w:top w:val="nil"/>
              <w:left w:val="nil"/>
              <w:bottom w:val="single" w:sz="4" w:space="0" w:color="000080"/>
              <w:right w:val="single" w:sz="4" w:space="0" w:color="000080"/>
            </w:tcBorders>
            <w:shd w:val="clear" w:color="auto" w:fill="auto"/>
            <w:noWrap/>
            <w:vAlign w:val="center"/>
            <w:hideMark/>
          </w:tcPr>
          <w:p w:rsidR="00951A0D" w:rsidRPr="009F527F" w:rsidRDefault="00165B0B" w:rsidP="00951A0D">
            <w:pPr>
              <w:spacing w:after="0" w:line="240" w:lineRule="auto"/>
              <w:jc w:val="right"/>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0</w:t>
            </w:r>
            <w:r w:rsidR="00951A0D" w:rsidRPr="009F527F">
              <w:rPr>
                <w:rFonts w:ascii="Arial" w:eastAsia="Times New Roman" w:hAnsi="Arial" w:cs="Arial"/>
                <w:color w:val="000000"/>
                <w:sz w:val="16"/>
                <w:szCs w:val="16"/>
                <w:lang w:eastAsia="hr-HR"/>
              </w:rPr>
              <w:t>,119</w:t>
            </w:r>
          </w:p>
        </w:tc>
        <w:tc>
          <w:tcPr>
            <w:tcW w:w="949" w:type="dxa"/>
            <w:tcBorders>
              <w:top w:val="nil"/>
              <w:left w:val="nil"/>
              <w:bottom w:val="single" w:sz="4" w:space="0" w:color="000080"/>
              <w:right w:val="single" w:sz="4" w:space="0" w:color="000080"/>
            </w:tcBorders>
            <w:shd w:val="clear" w:color="auto" w:fill="auto"/>
            <w:noWrap/>
            <w:vAlign w:val="center"/>
            <w:hideMark/>
          </w:tcPr>
          <w:p w:rsidR="00951A0D" w:rsidRPr="009F527F" w:rsidRDefault="00165B0B" w:rsidP="00951A0D">
            <w:pPr>
              <w:spacing w:after="0" w:line="240" w:lineRule="auto"/>
              <w:jc w:val="right"/>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0</w:t>
            </w:r>
            <w:r w:rsidR="00951A0D" w:rsidRPr="009F527F">
              <w:rPr>
                <w:rFonts w:ascii="Arial" w:eastAsia="Times New Roman" w:hAnsi="Arial" w:cs="Arial"/>
                <w:color w:val="000000"/>
                <w:sz w:val="16"/>
                <w:szCs w:val="16"/>
                <w:lang w:eastAsia="hr-HR"/>
              </w:rPr>
              <w:t>,723</w:t>
            </w:r>
          </w:p>
        </w:tc>
        <w:tc>
          <w:tcPr>
            <w:tcW w:w="956" w:type="dxa"/>
            <w:tcBorders>
              <w:top w:val="nil"/>
              <w:left w:val="nil"/>
              <w:bottom w:val="single" w:sz="4" w:space="0" w:color="000080"/>
              <w:right w:val="single" w:sz="4" w:space="0" w:color="000080"/>
            </w:tcBorders>
            <w:shd w:val="clear" w:color="auto" w:fill="auto"/>
            <w:noWrap/>
            <w:vAlign w:val="center"/>
            <w:hideMark/>
          </w:tcPr>
          <w:p w:rsidR="00951A0D" w:rsidRPr="009F527F" w:rsidRDefault="00951A0D" w:rsidP="00951A0D">
            <w:pPr>
              <w:spacing w:after="0" w:line="240" w:lineRule="auto"/>
              <w:jc w:val="right"/>
              <w:rPr>
                <w:rFonts w:ascii="Arial" w:eastAsia="Times New Roman" w:hAnsi="Arial" w:cs="Arial"/>
                <w:color w:val="000000"/>
                <w:sz w:val="16"/>
                <w:szCs w:val="16"/>
                <w:lang w:eastAsia="hr-HR"/>
              </w:rPr>
            </w:pPr>
            <w:r w:rsidRPr="009F527F">
              <w:rPr>
                <w:rFonts w:ascii="Arial" w:eastAsia="Times New Roman" w:hAnsi="Arial" w:cs="Arial"/>
                <w:color w:val="000000"/>
                <w:sz w:val="16"/>
                <w:szCs w:val="16"/>
                <w:lang w:eastAsia="hr-HR"/>
              </w:rPr>
              <w:t>28,194</w:t>
            </w:r>
          </w:p>
        </w:tc>
      </w:tr>
    </w:tbl>
    <w:p w:rsidR="00951A0D" w:rsidRDefault="00951A0D" w:rsidP="00950962">
      <w:pPr>
        <w:spacing w:after="0" w:line="240" w:lineRule="auto"/>
        <w:rPr>
          <w:rFonts w:ascii="Times New Roman" w:hAnsi="Times New Roman" w:cs="Times New Roman"/>
        </w:rPr>
      </w:pPr>
    </w:p>
    <w:p w:rsidR="009A69B0" w:rsidRPr="007607E2" w:rsidRDefault="009A69B0" w:rsidP="009A69B0">
      <w:pPr>
        <w:shd w:val="clear" w:color="auto" w:fill="FFFFFF"/>
        <w:spacing w:after="0" w:line="240" w:lineRule="auto"/>
        <w:ind w:firstLine="360"/>
        <w:jc w:val="both"/>
        <w:rPr>
          <w:rFonts w:ascii="Times New Roman" w:hAnsi="Times New Roman" w:cs="Times New Roman"/>
          <w:u w:val="single"/>
        </w:rPr>
      </w:pPr>
      <w:r w:rsidRPr="00FA7F54">
        <w:rPr>
          <w:rFonts w:ascii="Times New Roman" w:hAnsi="Times New Roman" w:cs="Times New Roman"/>
          <w:u w:val="single"/>
        </w:rPr>
        <w:t>Mjere za smanjenj</w:t>
      </w:r>
      <w:r>
        <w:rPr>
          <w:rFonts w:ascii="Times New Roman" w:hAnsi="Times New Roman" w:cs="Times New Roman"/>
          <w:u w:val="single"/>
        </w:rPr>
        <w:t>e odnosno optimizaciju rashoda:</w:t>
      </w:r>
    </w:p>
    <w:p w:rsidR="009A69B0" w:rsidRPr="00950962" w:rsidRDefault="009A69B0" w:rsidP="00C83540">
      <w:pPr>
        <w:pStyle w:val="Odlomakpopisa"/>
        <w:numPr>
          <w:ilvl w:val="0"/>
          <w:numId w:val="24"/>
        </w:numPr>
        <w:spacing w:line="240" w:lineRule="auto"/>
        <w:ind w:left="0" w:firstLine="426"/>
        <w:jc w:val="both"/>
        <w:rPr>
          <w:rFonts w:ascii="Times New Roman" w:hAnsi="Times New Roman" w:cs="Times New Roman"/>
        </w:rPr>
      </w:pPr>
      <w:r w:rsidRPr="009A69B0">
        <w:rPr>
          <w:rFonts w:ascii="Times New Roman" w:hAnsi="Times New Roman" w:cs="Times New Roman"/>
        </w:rPr>
        <w:t xml:space="preserve">Procjena </w:t>
      </w:r>
      <w:r w:rsidRPr="009A69B0">
        <w:rPr>
          <w:rFonts w:ascii="Times New Roman" w:eastAsia="Times New Roman" w:hAnsi="Times New Roman"/>
          <w:lang w:eastAsia="hr-HR"/>
        </w:rPr>
        <w:t>učinkovitog i djelotvornog funkcioniranja sustava financijskog upravljanja i kontrola</w:t>
      </w:r>
      <w:r w:rsidRPr="009A69B0">
        <w:rPr>
          <w:rFonts w:ascii="Times New Roman" w:hAnsi="Times New Roman" w:cs="Times New Roman"/>
        </w:rPr>
        <w:t xml:space="preserve">: izračun prosječnih troškova za </w:t>
      </w:r>
      <w:r>
        <w:rPr>
          <w:rFonts w:ascii="Times New Roman" w:hAnsi="Times New Roman" w:cs="Times New Roman"/>
        </w:rPr>
        <w:t>komunalne usluge po kvadratnom metru</w:t>
      </w:r>
      <w:r w:rsidR="00FF2F53">
        <w:rPr>
          <w:rFonts w:ascii="Times New Roman" w:hAnsi="Times New Roman" w:cs="Times New Roman"/>
        </w:rPr>
        <w:t xml:space="preserve"> i po zaposleniku</w:t>
      </w:r>
      <w:r w:rsidR="000F6FF6">
        <w:rPr>
          <w:rFonts w:ascii="Times New Roman" w:hAnsi="Times New Roman" w:cs="Times New Roman"/>
        </w:rPr>
        <w:t xml:space="preserve"> mjesečno</w:t>
      </w:r>
      <w:r w:rsidRPr="009A69B0">
        <w:rPr>
          <w:rFonts w:ascii="Times New Roman" w:hAnsi="Times New Roman" w:cs="Times New Roman"/>
        </w:rPr>
        <w:t>.</w:t>
      </w:r>
    </w:p>
    <w:p w:rsidR="00BB3DBE" w:rsidRPr="00FA7F54" w:rsidRDefault="00BB3DBE" w:rsidP="00BB3DBE">
      <w:pPr>
        <w:pStyle w:val="Naslov2"/>
        <w:rPr>
          <w:rFonts w:ascii="Times New Roman" w:hAnsi="Times New Roman" w:cs="Times New Roman"/>
          <w:color w:val="auto"/>
          <w:sz w:val="22"/>
          <w:szCs w:val="22"/>
        </w:rPr>
      </w:pPr>
      <w:bookmarkStart w:id="85" w:name="_Toc434411192"/>
      <w:bookmarkStart w:id="86" w:name="_Toc436402335"/>
      <w:r w:rsidRPr="00FA7F54">
        <w:rPr>
          <w:rFonts w:ascii="Times New Roman" w:hAnsi="Times New Roman" w:cs="Times New Roman"/>
          <w:color w:val="auto"/>
          <w:sz w:val="22"/>
          <w:szCs w:val="22"/>
        </w:rPr>
        <w:t>ZAKUPNINE I NAJAMNINE (3235)</w:t>
      </w:r>
      <w:bookmarkEnd w:id="85"/>
      <w:bookmarkEnd w:id="86"/>
    </w:p>
    <w:p w:rsidR="007F5E1C" w:rsidRPr="00FA7F54" w:rsidRDefault="007F5E1C" w:rsidP="007F5E1C">
      <w:pPr>
        <w:spacing w:line="240" w:lineRule="auto"/>
        <w:jc w:val="both"/>
        <w:rPr>
          <w:rFonts w:ascii="Times New Roman" w:hAnsi="Times New Roman" w:cs="Times New Roman"/>
        </w:rPr>
      </w:pPr>
      <w:r w:rsidRPr="00FA7F54">
        <w:rPr>
          <w:rFonts w:ascii="Times New Roman" w:hAnsi="Times New Roman" w:cs="Times New Roman"/>
        </w:rPr>
        <w:t xml:space="preserve">Prema iskazanim podacima u financijskim izvještajima rashodi za zakupnine i najamnine u 2013. godini iznosili su 612,1 mil. kuna, a u 2014. godini 664,6 mil. kuna. U državnom proračunu </w:t>
      </w:r>
      <w:r w:rsidR="003862D9" w:rsidRPr="00FA7F54">
        <w:rPr>
          <w:rFonts w:ascii="Times New Roman" w:hAnsi="Times New Roman" w:cs="Times New Roman"/>
        </w:rPr>
        <w:t>za 2015. godinu planirano je 698</w:t>
      </w:r>
      <w:r w:rsidRPr="00FA7F54">
        <w:rPr>
          <w:rFonts w:ascii="Times New Roman" w:hAnsi="Times New Roman" w:cs="Times New Roman"/>
        </w:rPr>
        <w:t xml:space="preserve">,7 mil. kuna </w:t>
      </w:r>
      <w:r w:rsidR="003862D9" w:rsidRPr="00FA7F54">
        <w:rPr>
          <w:rFonts w:ascii="Times New Roman" w:hAnsi="Times New Roman" w:cs="Times New Roman"/>
        </w:rPr>
        <w:t>navedenih rashoda od čega se 584,5</w:t>
      </w:r>
      <w:r w:rsidRPr="00FA7F54">
        <w:rPr>
          <w:rFonts w:ascii="Times New Roman" w:hAnsi="Times New Roman" w:cs="Times New Roman"/>
        </w:rPr>
        <w:t xml:space="preserve"> mil. </w:t>
      </w:r>
      <w:r w:rsidR="00E520B5">
        <w:rPr>
          <w:rFonts w:ascii="Times New Roman" w:hAnsi="Times New Roman" w:cs="Times New Roman"/>
        </w:rPr>
        <w:t xml:space="preserve">kuna </w:t>
      </w:r>
      <w:r w:rsidRPr="00FA7F54">
        <w:rPr>
          <w:rFonts w:ascii="Times New Roman" w:hAnsi="Times New Roman" w:cs="Times New Roman"/>
        </w:rPr>
        <w:t>financira iz izvora u limitu.</w:t>
      </w:r>
    </w:p>
    <w:p w:rsidR="00586E68" w:rsidRPr="00FA7F54" w:rsidRDefault="00586E68" w:rsidP="00545FB5">
      <w:pPr>
        <w:spacing w:line="240" w:lineRule="auto"/>
        <w:jc w:val="both"/>
        <w:rPr>
          <w:rFonts w:ascii="Times New Roman" w:hAnsi="Times New Roman" w:cs="Times New Roman"/>
        </w:rPr>
      </w:pPr>
      <w:r w:rsidRPr="00FA7F54">
        <w:rPr>
          <w:rFonts w:ascii="Times New Roman" w:hAnsi="Times New Roman" w:cs="Times New Roman"/>
        </w:rPr>
        <w:t>Najveći dio rashoda odnosi se na tijela izvršne vlasti</w:t>
      </w:r>
      <w:r w:rsidR="006301A5">
        <w:rPr>
          <w:rFonts w:ascii="Times New Roman" w:hAnsi="Times New Roman" w:cs="Times New Roman"/>
        </w:rPr>
        <w:t xml:space="preserve"> (</w:t>
      </w:r>
      <w:r w:rsidR="00545FB5" w:rsidRPr="00FA7F54">
        <w:rPr>
          <w:rFonts w:ascii="Times New Roman" w:hAnsi="Times New Roman" w:cs="Times New Roman"/>
        </w:rPr>
        <w:t xml:space="preserve">102 mil. </w:t>
      </w:r>
      <w:r w:rsidR="00E520B5">
        <w:rPr>
          <w:rFonts w:ascii="Times New Roman" w:hAnsi="Times New Roman" w:cs="Times New Roman"/>
        </w:rPr>
        <w:t xml:space="preserve">kuna </w:t>
      </w:r>
      <w:r w:rsidR="00545FB5" w:rsidRPr="00FA7F54">
        <w:rPr>
          <w:rFonts w:ascii="Times New Roman" w:hAnsi="Times New Roman" w:cs="Times New Roman"/>
        </w:rPr>
        <w:t xml:space="preserve">MUP, 91 mil. </w:t>
      </w:r>
      <w:r w:rsidR="00E520B5">
        <w:rPr>
          <w:rFonts w:ascii="Times New Roman" w:hAnsi="Times New Roman" w:cs="Times New Roman"/>
        </w:rPr>
        <w:t xml:space="preserve">kuna </w:t>
      </w:r>
      <w:r w:rsidR="00545FB5" w:rsidRPr="00FA7F54">
        <w:rPr>
          <w:rFonts w:ascii="Times New Roman" w:hAnsi="Times New Roman" w:cs="Times New Roman"/>
        </w:rPr>
        <w:t>MV</w:t>
      </w:r>
      <w:r w:rsidR="00E520B5">
        <w:rPr>
          <w:rFonts w:ascii="Times New Roman" w:hAnsi="Times New Roman" w:cs="Times New Roman"/>
        </w:rPr>
        <w:t>E</w:t>
      </w:r>
      <w:r w:rsidR="00545FB5" w:rsidRPr="00FA7F54">
        <w:rPr>
          <w:rFonts w:ascii="Times New Roman" w:hAnsi="Times New Roman" w:cs="Times New Roman"/>
        </w:rPr>
        <w:t xml:space="preserve">P, 35 mil. </w:t>
      </w:r>
      <w:r w:rsidR="00E520B5">
        <w:rPr>
          <w:rFonts w:ascii="Times New Roman" w:hAnsi="Times New Roman" w:cs="Times New Roman"/>
        </w:rPr>
        <w:t xml:space="preserve">kuna, </w:t>
      </w:r>
      <w:proofErr w:type="spellStart"/>
      <w:r w:rsidR="00545FB5" w:rsidRPr="00FA7F54">
        <w:rPr>
          <w:rFonts w:ascii="Times New Roman" w:hAnsi="Times New Roman" w:cs="Times New Roman"/>
        </w:rPr>
        <w:t>Min.pravosuđa</w:t>
      </w:r>
      <w:proofErr w:type="spellEnd"/>
      <w:r w:rsidR="00545FB5" w:rsidRPr="00FA7F54">
        <w:rPr>
          <w:rFonts w:ascii="Times New Roman" w:hAnsi="Times New Roman" w:cs="Times New Roman"/>
        </w:rPr>
        <w:t xml:space="preserve">, </w:t>
      </w:r>
      <w:r w:rsidR="0001531B">
        <w:rPr>
          <w:rFonts w:ascii="Times New Roman" w:hAnsi="Times New Roman" w:cs="Times New Roman"/>
        </w:rPr>
        <w:t xml:space="preserve">21 mil. </w:t>
      </w:r>
      <w:r w:rsidR="00E520B5">
        <w:rPr>
          <w:rFonts w:ascii="Times New Roman" w:hAnsi="Times New Roman" w:cs="Times New Roman"/>
        </w:rPr>
        <w:t xml:space="preserve">kuna </w:t>
      </w:r>
      <w:r w:rsidR="00545FB5" w:rsidRPr="00FA7F54">
        <w:rPr>
          <w:rFonts w:ascii="Times New Roman" w:hAnsi="Times New Roman" w:cs="Times New Roman"/>
        </w:rPr>
        <w:t>Porezna uprava</w:t>
      </w:r>
      <w:r w:rsidR="0001531B">
        <w:rPr>
          <w:rFonts w:ascii="Times New Roman" w:hAnsi="Times New Roman" w:cs="Times New Roman"/>
        </w:rPr>
        <w:t>,</w:t>
      </w:r>
      <w:r w:rsidR="00545FB5" w:rsidRPr="00FA7F54">
        <w:rPr>
          <w:rFonts w:ascii="Times New Roman" w:hAnsi="Times New Roman" w:cs="Times New Roman"/>
        </w:rPr>
        <w:t xml:space="preserve"> </w:t>
      </w:r>
      <w:r w:rsidR="0001531B" w:rsidRPr="00FA7F54">
        <w:rPr>
          <w:rFonts w:ascii="Times New Roman" w:hAnsi="Times New Roman" w:cs="Times New Roman"/>
        </w:rPr>
        <w:t>15 mil.</w:t>
      </w:r>
      <w:r w:rsidR="00E520B5">
        <w:rPr>
          <w:rFonts w:ascii="Times New Roman" w:hAnsi="Times New Roman" w:cs="Times New Roman"/>
        </w:rPr>
        <w:t xml:space="preserve"> kuna </w:t>
      </w:r>
      <w:r w:rsidR="00545FB5" w:rsidRPr="00FA7F54">
        <w:rPr>
          <w:rFonts w:ascii="Times New Roman" w:hAnsi="Times New Roman" w:cs="Times New Roman"/>
        </w:rPr>
        <w:t xml:space="preserve">Carinska uprava, 9 mil. </w:t>
      </w:r>
      <w:r w:rsidR="00E520B5">
        <w:rPr>
          <w:rFonts w:ascii="Times New Roman" w:hAnsi="Times New Roman" w:cs="Times New Roman"/>
        </w:rPr>
        <w:t xml:space="preserve">kuna </w:t>
      </w:r>
      <w:r w:rsidR="00545FB5" w:rsidRPr="00FA7F54">
        <w:rPr>
          <w:rFonts w:ascii="Times New Roman" w:hAnsi="Times New Roman" w:cs="Times New Roman"/>
        </w:rPr>
        <w:t xml:space="preserve">MZOS, 7 mil. </w:t>
      </w:r>
      <w:r w:rsidR="00E520B5">
        <w:rPr>
          <w:rFonts w:ascii="Times New Roman" w:hAnsi="Times New Roman" w:cs="Times New Roman"/>
        </w:rPr>
        <w:t xml:space="preserve">kuna </w:t>
      </w:r>
      <w:r w:rsidR="00545FB5" w:rsidRPr="00FA7F54">
        <w:rPr>
          <w:rFonts w:ascii="Times New Roman" w:hAnsi="Times New Roman" w:cs="Times New Roman"/>
        </w:rPr>
        <w:t xml:space="preserve">MRRFEU, 7 mil. </w:t>
      </w:r>
      <w:r w:rsidR="00E520B5">
        <w:rPr>
          <w:rFonts w:ascii="Times New Roman" w:hAnsi="Times New Roman" w:cs="Times New Roman"/>
        </w:rPr>
        <w:t xml:space="preserve">kuna </w:t>
      </w:r>
      <w:r w:rsidR="00545FB5" w:rsidRPr="00FA7F54">
        <w:rPr>
          <w:rFonts w:ascii="Times New Roman" w:hAnsi="Times New Roman" w:cs="Times New Roman"/>
        </w:rPr>
        <w:t>MPPI</w:t>
      </w:r>
      <w:r w:rsidR="006301A5">
        <w:rPr>
          <w:rFonts w:ascii="Times New Roman" w:hAnsi="Times New Roman" w:cs="Times New Roman"/>
        </w:rPr>
        <w:t>)</w:t>
      </w:r>
      <w:r w:rsidR="00545FB5" w:rsidRPr="00FA7F54">
        <w:rPr>
          <w:rFonts w:ascii="Times New Roman" w:hAnsi="Times New Roman" w:cs="Times New Roman"/>
        </w:rPr>
        <w:t xml:space="preserve"> </w:t>
      </w:r>
      <w:r w:rsidR="00367209" w:rsidRPr="00FA7F54">
        <w:rPr>
          <w:rFonts w:ascii="Times New Roman" w:hAnsi="Times New Roman" w:cs="Times New Roman"/>
        </w:rPr>
        <w:t xml:space="preserve"> i agencije</w:t>
      </w:r>
      <w:r w:rsidR="00D1283B" w:rsidRPr="00FA7F54">
        <w:rPr>
          <w:rFonts w:ascii="Times New Roman" w:hAnsi="Times New Roman" w:cs="Times New Roman"/>
        </w:rPr>
        <w:t xml:space="preserve"> </w:t>
      </w:r>
      <w:r w:rsidR="006301A5">
        <w:rPr>
          <w:rFonts w:ascii="Times New Roman" w:hAnsi="Times New Roman" w:cs="Times New Roman"/>
        </w:rPr>
        <w:t>(</w:t>
      </w:r>
      <w:r w:rsidR="00D1283B" w:rsidRPr="00FA7F54">
        <w:rPr>
          <w:rFonts w:ascii="Times New Roman" w:hAnsi="Times New Roman" w:cs="Times New Roman"/>
        </w:rPr>
        <w:t>130 mil.</w:t>
      </w:r>
      <w:r w:rsidR="00E520B5">
        <w:rPr>
          <w:rFonts w:ascii="Times New Roman" w:hAnsi="Times New Roman" w:cs="Times New Roman"/>
        </w:rPr>
        <w:t xml:space="preserve"> kuna</w:t>
      </w:r>
      <w:r w:rsidR="00D1283B" w:rsidRPr="00FA7F54">
        <w:rPr>
          <w:rFonts w:ascii="Times New Roman" w:hAnsi="Times New Roman" w:cs="Times New Roman"/>
        </w:rPr>
        <w:t xml:space="preserve"> Hrvatska agencija za obvezne zalihe nafte, 14 mil. </w:t>
      </w:r>
      <w:r w:rsidR="00E520B5">
        <w:rPr>
          <w:rFonts w:ascii="Times New Roman" w:hAnsi="Times New Roman" w:cs="Times New Roman"/>
        </w:rPr>
        <w:t xml:space="preserve">kuna </w:t>
      </w:r>
      <w:r w:rsidR="00D1283B" w:rsidRPr="00FA7F54">
        <w:rPr>
          <w:rFonts w:ascii="Times New Roman" w:hAnsi="Times New Roman" w:cs="Times New Roman"/>
        </w:rPr>
        <w:t>Agencija za plaćanja u poljoprivredi)</w:t>
      </w:r>
      <w:r w:rsidRPr="00FA7F54">
        <w:rPr>
          <w:rFonts w:ascii="Times New Roman" w:hAnsi="Times New Roman" w:cs="Times New Roman"/>
        </w:rPr>
        <w:t>.</w:t>
      </w:r>
    </w:p>
    <w:p w:rsidR="00BB3DBE" w:rsidRPr="00E520B5" w:rsidRDefault="009835A2" w:rsidP="00E520B5">
      <w:pPr>
        <w:pStyle w:val="Opisslike"/>
        <w:spacing w:after="0"/>
        <w:jc w:val="both"/>
        <w:rPr>
          <w:rFonts w:ascii="Times New Roman" w:hAnsi="Times New Roman" w:cs="Times New Roman"/>
          <w:sz w:val="20"/>
          <w:szCs w:val="20"/>
        </w:rPr>
      </w:pPr>
      <w:bookmarkStart w:id="87" w:name="_Toc436402287"/>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40</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3813DF" w:rsidRPr="006B7B79">
        <w:rPr>
          <w:rFonts w:ascii="Times New Roman" w:hAnsi="Times New Roman" w:cs="Times New Roman"/>
          <w:sz w:val="20"/>
          <w:szCs w:val="20"/>
        </w:rPr>
        <w:t xml:space="preserve"> Zakupnine i najamnine prema podacima iskazanim u financijskim izvještajima proračunskih i izvanproračunskih korisnika za 2013. i 2014. godinu te planu Državnog proračuna za 2015. godinu</w:t>
      </w:r>
      <w:bookmarkEnd w:id="87"/>
    </w:p>
    <w:p w:rsidR="00BB3DBE" w:rsidRPr="00FA7F54" w:rsidRDefault="00BF3EB3" w:rsidP="00E520B5">
      <w:pPr>
        <w:spacing w:line="240" w:lineRule="auto"/>
        <w:jc w:val="both"/>
        <w:rPr>
          <w:rFonts w:ascii="Times New Roman" w:hAnsi="Times New Roman" w:cs="Times New Roman"/>
        </w:rPr>
      </w:pPr>
      <w:r w:rsidRPr="00BF3EB3">
        <w:rPr>
          <w:noProof/>
          <w:lang w:eastAsia="hr-HR"/>
        </w:rPr>
        <w:drawing>
          <wp:inline distT="0" distB="0" distL="0" distR="0" wp14:anchorId="57C04B35" wp14:editId="07121BA1">
            <wp:extent cx="5760720" cy="3067603"/>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3067603"/>
                    </a:xfrm>
                    <a:prstGeom prst="rect">
                      <a:avLst/>
                    </a:prstGeom>
                    <a:noFill/>
                    <a:ln>
                      <a:noFill/>
                    </a:ln>
                  </pic:spPr>
                </pic:pic>
              </a:graphicData>
            </a:graphic>
          </wp:inline>
        </w:drawing>
      </w:r>
    </w:p>
    <w:p w:rsidR="007A196D" w:rsidRDefault="00367209" w:rsidP="009832EC">
      <w:pPr>
        <w:spacing w:line="240" w:lineRule="auto"/>
        <w:jc w:val="both"/>
        <w:rPr>
          <w:rFonts w:ascii="Times New Roman" w:hAnsi="Times New Roman" w:cs="Times New Roman"/>
        </w:rPr>
      </w:pPr>
      <w:r w:rsidRPr="00FA7F54">
        <w:rPr>
          <w:rFonts w:ascii="Times New Roman" w:hAnsi="Times New Roman" w:cs="Times New Roman"/>
        </w:rPr>
        <w:t>Navedeni rashodi uključuju zakupnine i najamnine za zemljišta, građevinske objekte, opremu</w:t>
      </w:r>
      <w:r w:rsidR="00465388" w:rsidRPr="00FA7F54">
        <w:rPr>
          <w:rFonts w:ascii="Times New Roman" w:hAnsi="Times New Roman" w:cs="Times New Roman"/>
        </w:rPr>
        <w:t xml:space="preserve"> (MORH, MUP)</w:t>
      </w:r>
      <w:r w:rsidRPr="00FA7F54">
        <w:rPr>
          <w:rFonts w:ascii="Times New Roman" w:hAnsi="Times New Roman" w:cs="Times New Roman"/>
        </w:rPr>
        <w:t xml:space="preserve"> i ostalo te licence.</w:t>
      </w:r>
      <w:r w:rsidR="00F119DC" w:rsidRPr="00FA7F54">
        <w:rPr>
          <w:rFonts w:ascii="Times New Roman" w:hAnsi="Times New Roman" w:cs="Times New Roman"/>
        </w:rPr>
        <w:t xml:space="preserve"> </w:t>
      </w:r>
      <w:r w:rsidR="00C45D69">
        <w:rPr>
          <w:rFonts w:ascii="Times New Roman" w:hAnsi="Times New Roman" w:cs="Times New Roman"/>
        </w:rPr>
        <w:t>Najveći dio</w:t>
      </w:r>
      <w:r w:rsidR="007A196D">
        <w:rPr>
          <w:rFonts w:ascii="Times New Roman" w:hAnsi="Times New Roman" w:cs="Times New Roman"/>
        </w:rPr>
        <w:t xml:space="preserve"> rashoda odnosi se na najamnine za građevinske objekte. Iz dostavljenih podataka kroz upitnik proizlazi da najveće prosječne iznose po kvadratnom metru plaćaju ostala državna tijela, tijela izvršne vlasti i agencije</w:t>
      </w:r>
      <w:r w:rsidR="00B3669C">
        <w:rPr>
          <w:rFonts w:ascii="Times New Roman" w:hAnsi="Times New Roman" w:cs="Times New Roman"/>
        </w:rPr>
        <w:t xml:space="preserve"> na koje se</w:t>
      </w:r>
      <w:r w:rsidR="002730F9">
        <w:rPr>
          <w:rFonts w:ascii="Times New Roman" w:hAnsi="Times New Roman" w:cs="Times New Roman"/>
        </w:rPr>
        <w:t xml:space="preserve"> i odnosi </w:t>
      </w:r>
      <w:r w:rsidR="00B3669C">
        <w:rPr>
          <w:rFonts w:ascii="Times New Roman" w:hAnsi="Times New Roman" w:cs="Times New Roman"/>
        </w:rPr>
        <w:t>najveći dio zakupnina i najamnina.</w:t>
      </w:r>
      <w:r w:rsidR="00CA001F">
        <w:rPr>
          <w:rFonts w:ascii="Times New Roman" w:hAnsi="Times New Roman" w:cs="Times New Roman"/>
        </w:rPr>
        <w:t xml:space="preserve"> Prosječno najveću površinu po zaposlenom imaju ustanove u znanosti, agencije i tijela izvršne vlasti.</w:t>
      </w:r>
    </w:p>
    <w:p w:rsidR="00BB3DBE" w:rsidRPr="00FA7F54" w:rsidRDefault="00BC285C" w:rsidP="009832EC">
      <w:pPr>
        <w:spacing w:line="240" w:lineRule="auto"/>
        <w:jc w:val="both"/>
        <w:rPr>
          <w:rFonts w:ascii="Times New Roman" w:hAnsi="Times New Roman" w:cs="Times New Roman"/>
        </w:rPr>
      </w:pPr>
      <w:r w:rsidRPr="00FA7F54">
        <w:rPr>
          <w:rFonts w:ascii="Times New Roman" w:hAnsi="Times New Roman" w:cs="Times New Roman"/>
        </w:rPr>
        <w:lastRenderedPageBreak/>
        <w:t>Ostale najamnine i zakupnine evidentirane su kod Hrvatske agencije za obvezne zalihe nafte i naftnih derivata,</w:t>
      </w:r>
      <w:r w:rsidR="00465388" w:rsidRPr="00FA7F54">
        <w:rPr>
          <w:rFonts w:ascii="Times New Roman" w:hAnsi="Times New Roman" w:cs="Times New Roman"/>
        </w:rPr>
        <w:t xml:space="preserve"> Ministarstva pravosuđa, HZMO,  Porezne uprave</w:t>
      </w:r>
      <w:r w:rsidRPr="00FA7F54">
        <w:rPr>
          <w:rFonts w:ascii="Times New Roman" w:hAnsi="Times New Roman" w:cs="Times New Roman"/>
        </w:rPr>
        <w:t>, Hrvatskog sabora</w:t>
      </w:r>
      <w:r w:rsidR="00465388" w:rsidRPr="00FA7F54">
        <w:rPr>
          <w:rFonts w:ascii="Times New Roman" w:hAnsi="Times New Roman" w:cs="Times New Roman"/>
        </w:rPr>
        <w:t xml:space="preserve">. </w:t>
      </w:r>
    </w:p>
    <w:p w:rsidR="009835A2" w:rsidRPr="00E520B5" w:rsidRDefault="009835A2" w:rsidP="006B7B79">
      <w:pPr>
        <w:pStyle w:val="Opisslike"/>
        <w:spacing w:after="0"/>
        <w:jc w:val="both"/>
        <w:rPr>
          <w:rFonts w:ascii="Times New Roman" w:hAnsi="Times New Roman" w:cs="Times New Roman"/>
          <w:sz w:val="20"/>
          <w:szCs w:val="20"/>
        </w:rPr>
      </w:pPr>
      <w:bookmarkStart w:id="88" w:name="_Toc436402288"/>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41</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C36236" w:rsidRPr="006B7B79">
        <w:rPr>
          <w:rFonts w:ascii="Times New Roman" w:hAnsi="Times New Roman" w:cs="Times New Roman"/>
          <w:sz w:val="20"/>
          <w:szCs w:val="20"/>
        </w:rPr>
        <w:t xml:space="preserve"> Zakupnine i najamnine prema podacima iskazanim u državnom proračunu – izvršenje za 2014. (u mil.</w:t>
      </w:r>
      <w:r w:rsidR="00E520B5">
        <w:rPr>
          <w:rFonts w:ascii="Times New Roman" w:hAnsi="Times New Roman" w:cs="Times New Roman"/>
          <w:sz w:val="20"/>
          <w:szCs w:val="20"/>
        </w:rPr>
        <w:t xml:space="preserve"> kuna</w:t>
      </w:r>
      <w:r w:rsidR="00C36236" w:rsidRPr="006B7B79">
        <w:rPr>
          <w:rFonts w:ascii="Times New Roman" w:hAnsi="Times New Roman" w:cs="Times New Roman"/>
          <w:sz w:val="20"/>
          <w:szCs w:val="20"/>
        </w:rPr>
        <w:t>)</w:t>
      </w:r>
      <w:bookmarkEnd w:id="88"/>
    </w:p>
    <w:tbl>
      <w:tblPr>
        <w:tblW w:w="7120" w:type="dxa"/>
        <w:jc w:val="center"/>
        <w:tblInd w:w="93" w:type="dxa"/>
        <w:tblLook w:val="04A0" w:firstRow="1" w:lastRow="0" w:firstColumn="1" w:lastColumn="0" w:noHBand="0" w:noVBand="1"/>
      </w:tblPr>
      <w:tblGrid>
        <w:gridCol w:w="1360"/>
        <w:gridCol w:w="1017"/>
        <w:gridCol w:w="964"/>
        <w:gridCol w:w="1079"/>
        <w:gridCol w:w="981"/>
        <w:gridCol w:w="960"/>
        <w:gridCol w:w="960"/>
      </w:tblGrid>
      <w:tr w:rsidR="00F018E9" w:rsidRPr="003813DF" w:rsidTr="00E520B5">
        <w:trPr>
          <w:trHeight w:val="1110"/>
          <w:jc w:val="center"/>
        </w:trPr>
        <w:tc>
          <w:tcPr>
            <w:tcW w:w="1360"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F018E9" w:rsidRPr="003813DF" w:rsidRDefault="00F018E9" w:rsidP="00E520B5">
            <w:pPr>
              <w:spacing w:after="0" w:line="240" w:lineRule="auto"/>
              <w:jc w:val="center"/>
              <w:rPr>
                <w:rFonts w:ascii="Arial" w:eastAsia="Times New Roman" w:hAnsi="Arial" w:cs="Arial"/>
                <w:b/>
                <w:bCs/>
                <w:sz w:val="16"/>
                <w:szCs w:val="16"/>
                <w:lang w:eastAsia="hr-HR"/>
              </w:rPr>
            </w:pPr>
            <w:r w:rsidRPr="003813DF">
              <w:rPr>
                <w:rFonts w:ascii="Arial" w:eastAsia="Times New Roman" w:hAnsi="Arial" w:cs="Arial"/>
                <w:b/>
                <w:bCs/>
                <w:sz w:val="16"/>
                <w:szCs w:val="16"/>
                <w:lang w:eastAsia="hr-HR"/>
              </w:rPr>
              <w:t>Izvršenje 2014.</w:t>
            </w:r>
          </w:p>
        </w:tc>
        <w:tc>
          <w:tcPr>
            <w:tcW w:w="960" w:type="dxa"/>
            <w:tcBorders>
              <w:top w:val="single" w:sz="4" w:space="0" w:color="000080"/>
              <w:left w:val="nil"/>
              <w:bottom w:val="single" w:sz="4" w:space="0" w:color="000080"/>
              <w:right w:val="single" w:sz="4" w:space="0" w:color="000080"/>
            </w:tcBorders>
            <w:shd w:val="clear" w:color="000000" w:fill="DCE6F1"/>
            <w:vAlign w:val="center"/>
            <w:hideMark/>
          </w:tcPr>
          <w:p w:rsidR="00F018E9" w:rsidRPr="005C4468" w:rsidRDefault="00F018E9" w:rsidP="00E520B5">
            <w:pPr>
              <w:spacing w:after="0" w:line="240" w:lineRule="auto"/>
              <w:jc w:val="center"/>
              <w:rPr>
                <w:rFonts w:ascii="Arial" w:eastAsia="Times New Roman" w:hAnsi="Arial" w:cs="Arial"/>
                <w:b/>
                <w:color w:val="000000"/>
                <w:sz w:val="16"/>
                <w:szCs w:val="16"/>
                <w:lang w:eastAsia="hr-HR"/>
              </w:rPr>
            </w:pPr>
            <w:r w:rsidRPr="005C4468">
              <w:rPr>
                <w:rFonts w:ascii="Arial" w:eastAsia="Times New Roman" w:hAnsi="Arial" w:cs="Arial"/>
                <w:b/>
                <w:color w:val="000000"/>
                <w:sz w:val="16"/>
                <w:szCs w:val="16"/>
                <w:lang w:eastAsia="hr-HR"/>
              </w:rPr>
              <w:t>Zakupnine i najamnine</w:t>
            </w:r>
          </w:p>
        </w:tc>
        <w:tc>
          <w:tcPr>
            <w:tcW w:w="960" w:type="dxa"/>
            <w:tcBorders>
              <w:top w:val="single" w:sz="4" w:space="0" w:color="000080"/>
              <w:left w:val="nil"/>
              <w:bottom w:val="single" w:sz="4" w:space="0" w:color="000080"/>
              <w:right w:val="single" w:sz="4" w:space="0" w:color="000080"/>
            </w:tcBorders>
            <w:shd w:val="clear" w:color="000000" w:fill="DCE6F1"/>
            <w:vAlign w:val="center"/>
            <w:hideMark/>
          </w:tcPr>
          <w:p w:rsidR="00F018E9" w:rsidRPr="003813DF" w:rsidRDefault="00F018E9" w:rsidP="00E520B5">
            <w:pPr>
              <w:spacing w:after="0" w:line="240" w:lineRule="auto"/>
              <w:jc w:val="center"/>
              <w:rPr>
                <w:rFonts w:ascii="Arial" w:eastAsia="Times New Roman" w:hAnsi="Arial" w:cs="Arial"/>
                <w:color w:val="000000"/>
                <w:sz w:val="16"/>
                <w:szCs w:val="16"/>
                <w:lang w:eastAsia="hr-HR"/>
              </w:rPr>
            </w:pPr>
            <w:r w:rsidRPr="003813DF">
              <w:rPr>
                <w:rFonts w:ascii="Arial" w:eastAsia="Times New Roman" w:hAnsi="Arial" w:cs="Arial"/>
                <w:color w:val="000000"/>
                <w:sz w:val="16"/>
                <w:szCs w:val="16"/>
                <w:lang w:eastAsia="hr-HR"/>
              </w:rPr>
              <w:t>Zakupnine za zemljišta</w:t>
            </w:r>
          </w:p>
        </w:tc>
        <w:tc>
          <w:tcPr>
            <w:tcW w:w="960" w:type="dxa"/>
            <w:tcBorders>
              <w:top w:val="single" w:sz="4" w:space="0" w:color="000080"/>
              <w:left w:val="nil"/>
              <w:bottom w:val="single" w:sz="4" w:space="0" w:color="000080"/>
              <w:right w:val="single" w:sz="4" w:space="0" w:color="000080"/>
            </w:tcBorders>
            <w:shd w:val="clear" w:color="000000" w:fill="DCE6F1"/>
            <w:vAlign w:val="center"/>
            <w:hideMark/>
          </w:tcPr>
          <w:p w:rsidR="00F018E9" w:rsidRPr="003813DF" w:rsidRDefault="00F018E9" w:rsidP="00E520B5">
            <w:pPr>
              <w:spacing w:after="0" w:line="240" w:lineRule="auto"/>
              <w:jc w:val="center"/>
              <w:rPr>
                <w:rFonts w:ascii="Arial" w:eastAsia="Times New Roman" w:hAnsi="Arial" w:cs="Arial"/>
                <w:color w:val="000000"/>
                <w:sz w:val="16"/>
                <w:szCs w:val="16"/>
                <w:lang w:eastAsia="hr-HR"/>
              </w:rPr>
            </w:pPr>
            <w:r w:rsidRPr="003813DF">
              <w:rPr>
                <w:rFonts w:ascii="Arial" w:eastAsia="Times New Roman" w:hAnsi="Arial" w:cs="Arial"/>
                <w:color w:val="000000"/>
                <w:sz w:val="16"/>
                <w:szCs w:val="16"/>
                <w:lang w:eastAsia="hr-HR"/>
              </w:rPr>
              <w:t>Najamnine za građevinske objekte</w:t>
            </w:r>
          </w:p>
        </w:tc>
        <w:tc>
          <w:tcPr>
            <w:tcW w:w="960" w:type="dxa"/>
            <w:tcBorders>
              <w:top w:val="single" w:sz="4" w:space="0" w:color="000080"/>
              <w:left w:val="nil"/>
              <w:bottom w:val="single" w:sz="4" w:space="0" w:color="000080"/>
              <w:right w:val="single" w:sz="4" w:space="0" w:color="000080"/>
            </w:tcBorders>
            <w:shd w:val="clear" w:color="000000" w:fill="DCE6F1"/>
            <w:vAlign w:val="center"/>
            <w:hideMark/>
          </w:tcPr>
          <w:p w:rsidR="00F018E9" w:rsidRPr="003813DF" w:rsidRDefault="00F018E9" w:rsidP="00E520B5">
            <w:pPr>
              <w:spacing w:after="0" w:line="240" w:lineRule="auto"/>
              <w:jc w:val="center"/>
              <w:rPr>
                <w:rFonts w:ascii="Arial" w:eastAsia="Times New Roman" w:hAnsi="Arial" w:cs="Arial"/>
                <w:color w:val="000000"/>
                <w:sz w:val="16"/>
                <w:szCs w:val="16"/>
                <w:lang w:eastAsia="hr-HR"/>
              </w:rPr>
            </w:pPr>
            <w:r w:rsidRPr="003813DF">
              <w:rPr>
                <w:rFonts w:ascii="Arial" w:eastAsia="Times New Roman" w:hAnsi="Arial" w:cs="Arial"/>
                <w:color w:val="000000"/>
                <w:sz w:val="16"/>
                <w:szCs w:val="16"/>
                <w:lang w:eastAsia="hr-HR"/>
              </w:rPr>
              <w:t>Najamnine za opremu</w:t>
            </w:r>
          </w:p>
        </w:tc>
        <w:tc>
          <w:tcPr>
            <w:tcW w:w="960" w:type="dxa"/>
            <w:tcBorders>
              <w:top w:val="single" w:sz="4" w:space="0" w:color="000080"/>
              <w:left w:val="nil"/>
              <w:bottom w:val="single" w:sz="4" w:space="0" w:color="000080"/>
              <w:right w:val="single" w:sz="4" w:space="0" w:color="000080"/>
            </w:tcBorders>
            <w:shd w:val="clear" w:color="000000" w:fill="DCE6F1"/>
            <w:vAlign w:val="center"/>
            <w:hideMark/>
          </w:tcPr>
          <w:p w:rsidR="00F018E9" w:rsidRPr="003813DF" w:rsidRDefault="00F018E9" w:rsidP="00E520B5">
            <w:pPr>
              <w:spacing w:after="0" w:line="240" w:lineRule="auto"/>
              <w:jc w:val="center"/>
              <w:rPr>
                <w:rFonts w:ascii="Arial" w:eastAsia="Times New Roman" w:hAnsi="Arial" w:cs="Arial"/>
                <w:color w:val="000000"/>
                <w:sz w:val="16"/>
                <w:szCs w:val="16"/>
                <w:lang w:eastAsia="hr-HR"/>
              </w:rPr>
            </w:pPr>
            <w:r w:rsidRPr="003813DF">
              <w:rPr>
                <w:rFonts w:ascii="Arial" w:eastAsia="Times New Roman" w:hAnsi="Arial" w:cs="Arial"/>
                <w:color w:val="000000"/>
                <w:sz w:val="16"/>
                <w:szCs w:val="16"/>
                <w:lang w:eastAsia="hr-HR"/>
              </w:rPr>
              <w:t>Licence</w:t>
            </w:r>
          </w:p>
        </w:tc>
        <w:tc>
          <w:tcPr>
            <w:tcW w:w="960" w:type="dxa"/>
            <w:tcBorders>
              <w:top w:val="single" w:sz="4" w:space="0" w:color="000080"/>
              <w:left w:val="nil"/>
              <w:bottom w:val="single" w:sz="4" w:space="0" w:color="000080"/>
              <w:right w:val="single" w:sz="4" w:space="0" w:color="000080"/>
            </w:tcBorders>
            <w:shd w:val="clear" w:color="000000" w:fill="DCE6F1"/>
            <w:vAlign w:val="center"/>
            <w:hideMark/>
          </w:tcPr>
          <w:p w:rsidR="00F018E9" w:rsidRPr="003813DF" w:rsidRDefault="00F018E9" w:rsidP="00E520B5">
            <w:pPr>
              <w:spacing w:after="0" w:line="240" w:lineRule="auto"/>
              <w:jc w:val="center"/>
              <w:rPr>
                <w:rFonts w:ascii="Arial" w:eastAsia="Times New Roman" w:hAnsi="Arial" w:cs="Arial"/>
                <w:color w:val="000000"/>
                <w:sz w:val="16"/>
                <w:szCs w:val="16"/>
                <w:lang w:eastAsia="hr-HR"/>
              </w:rPr>
            </w:pPr>
            <w:r w:rsidRPr="003813DF">
              <w:rPr>
                <w:rFonts w:ascii="Arial" w:eastAsia="Times New Roman" w:hAnsi="Arial" w:cs="Arial"/>
                <w:color w:val="000000"/>
                <w:sz w:val="16"/>
                <w:szCs w:val="16"/>
                <w:lang w:eastAsia="hr-HR"/>
              </w:rPr>
              <w:t>Ostale najamnine i zakupnine</w:t>
            </w:r>
          </w:p>
        </w:tc>
      </w:tr>
      <w:tr w:rsidR="00F018E9" w:rsidRPr="003813DF" w:rsidTr="00E520B5">
        <w:trPr>
          <w:trHeight w:val="300"/>
          <w:jc w:val="center"/>
        </w:trPr>
        <w:tc>
          <w:tcPr>
            <w:tcW w:w="1360" w:type="dxa"/>
            <w:tcBorders>
              <w:top w:val="nil"/>
              <w:left w:val="single" w:sz="4" w:space="0" w:color="000080"/>
              <w:bottom w:val="single" w:sz="4" w:space="0" w:color="000080"/>
              <w:right w:val="single" w:sz="4" w:space="0" w:color="000080"/>
            </w:tcBorders>
            <w:shd w:val="clear" w:color="000000" w:fill="DCE6F1"/>
            <w:noWrap/>
            <w:vAlign w:val="center"/>
            <w:hideMark/>
          </w:tcPr>
          <w:p w:rsidR="00F018E9" w:rsidRPr="003813DF" w:rsidRDefault="00F018E9" w:rsidP="003813DF">
            <w:pPr>
              <w:spacing w:after="0" w:line="240" w:lineRule="auto"/>
              <w:ind w:firstLineChars="200" w:firstLine="320"/>
              <w:rPr>
                <w:rFonts w:ascii="Arial" w:eastAsia="Times New Roman" w:hAnsi="Arial" w:cs="Arial"/>
                <w:sz w:val="16"/>
                <w:szCs w:val="16"/>
                <w:lang w:eastAsia="hr-HR"/>
              </w:rPr>
            </w:pPr>
            <w:r w:rsidRPr="003813DF">
              <w:rPr>
                <w:rFonts w:ascii="Arial" w:eastAsia="Times New Roman" w:hAnsi="Arial" w:cs="Arial"/>
                <w:sz w:val="16"/>
                <w:szCs w:val="16"/>
                <w:lang w:eastAsia="hr-HR"/>
              </w:rPr>
              <w:t>- Ukupno</w:t>
            </w:r>
          </w:p>
        </w:tc>
        <w:tc>
          <w:tcPr>
            <w:tcW w:w="960" w:type="dxa"/>
            <w:tcBorders>
              <w:top w:val="nil"/>
              <w:left w:val="nil"/>
              <w:bottom w:val="single" w:sz="4" w:space="0" w:color="000080"/>
              <w:right w:val="single" w:sz="4" w:space="0" w:color="000080"/>
            </w:tcBorders>
            <w:shd w:val="clear" w:color="000000" w:fill="DCE6F1"/>
            <w:noWrap/>
            <w:vAlign w:val="center"/>
            <w:hideMark/>
          </w:tcPr>
          <w:p w:rsidR="00F018E9" w:rsidRPr="005C4468" w:rsidRDefault="00F018E9" w:rsidP="00F018E9">
            <w:pPr>
              <w:spacing w:after="0" w:line="240" w:lineRule="auto"/>
              <w:jc w:val="right"/>
              <w:rPr>
                <w:rFonts w:ascii="Arial" w:eastAsia="Times New Roman" w:hAnsi="Arial" w:cs="Arial"/>
                <w:b/>
                <w:color w:val="000000"/>
                <w:sz w:val="16"/>
                <w:szCs w:val="16"/>
                <w:lang w:eastAsia="hr-HR"/>
              </w:rPr>
            </w:pPr>
            <w:r w:rsidRPr="005C4468">
              <w:rPr>
                <w:rFonts w:ascii="Arial" w:eastAsia="Times New Roman" w:hAnsi="Arial" w:cs="Arial"/>
                <w:b/>
                <w:color w:val="000000"/>
                <w:sz w:val="16"/>
                <w:szCs w:val="16"/>
                <w:lang w:eastAsia="hr-HR"/>
              </w:rPr>
              <w:t>695,883</w:t>
            </w:r>
          </w:p>
        </w:tc>
        <w:tc>
          <w:tcPr>
            <w:tcW w:w="960" w:type="dxa"/>
            <w:tcBorders>
              <w:top w:val="nil"/>
              <w:left w:val="nil"/>
              <w:bottom w:val="single" w:sz="4" w:space="0" w:color="000080"/>
              <w:right w:val="single" w:sz="4" w:space="0" w:color="000080"/>
            </w:tcBorders>
            <w:shd w:val="clear" w:color="000000" w:fill="DCE6F1"/>
            <w:noWrap/>
            <w:vAlign w:val="center"/>
            <w:hideMark/>
          </w:tcPr>
          <w:p w:rsidR="00F018E9" w:rsidRPr="003813DF" w:rsidRDefault="00F22A16" w:rsidP="00F018E9">
            <w:pPr>
              <w:spacing w:after="0" w:line="240" w:lineRule="auto"/>
              <w:jc w:val="right"/>
              <w:rPr>
                <w:rFonts w:ascii="Arial" w:eastAsia="Times New Roman" w:hAnsi="Arial" w:cs="Arial"/>
                <w:color w:val="000000"/>
                <w:sz w:val="16"/>
                <w:szCs w:val="16"/>
                <w:lang w:eastAsia="hr-HR"/>
              </w:rPr>
            </w:pPr>
            <w:r w:rsidRPr="003813DF">
              <w:rPr>
                <w:rFonts w:ascii="Arial" w:eastAsia="Times New Roman" w:hAnsi="Arial" w:cs="Arial"/>
                <w:color w:val="000000"/>
                <w:sz w:val="16"/>
                <w:szCs w:val="16"/>
                <w:lang w:eastAsia="hr-HR"/>
              </w:rPr>
              <w:t>0</w:t>
            </w:r>
            <w:r w:rsidR="00F018E9" w:rsidRPr="003813DF">
              <w:rPr>
                <w:rFonts w:ascii="Arial" w:eastAsia="Times New Roman" w:hAnsi="Arial" w:cs="Arial"/>
                <w:color w:val="000000"/>
                <w:sz w:val="16"/>
                <w:szCs w:val="16"/>
                <w:lang w:eastAsia="hr-HR"/>
              </w:rPr>
              <w:t>,233</w:t>
            </w:r>
          </w:p>
        </w:tc>
        <w:tc>
          <w:tcPr>
            <w:tcW w:w="960" w:type="dxa"/>
            <w:tcBorders>
              <w:top w:val="nil"/>
              <w:left w:val="nil"/>
              <w:bottom w:val="single" w:sz="4" w:space="0" w:color="000080"/>
              <w:right w:val="single" w:sz="4" w:space="0" w:color="000080"/>
            </w:tcBorders>
            <w:shd w:val="clear" w:color="000000" w:fill="DCE6F1"/>
            <w:noWrap/>
            <w:vAlign w:val="center"/>
            <w:hideMark/>
          </w:tcPr>
          <w:p w:rsidR="00F018E9" w:rsidRPr="003813DF" w:rsidRDefault="00F018E9" w:rsidP="00F018E9">
            <w:pPr>
              <w:spacing w:after="0" w:line="240" w:lineRule="auto"/>
              <w:jc w:val="right"/>
              <w:rPr>
                <w:rFonts w:ascii="Arial" w:eastAsia="Times New Roman" w:hAnsi="Arial" w:cs="Arial"/>
                <w:color w:val="000000"/>
                <w:sz w:val="16"/>
                <w:szCs w:val="16"/>
                <w:lang w:eastAsia="hr-HR"/>
              </w:rPr>
            </w:pPr>
            <w:r w:rsidRPr="003813DF">
              <w:rPr>
                <w:rFonts w:ascii="Arial" w:eastAsia="Times New Roman" w:hAnsi="Arial" w:cs="Arial"/>
                <w:color w:val="000000"/>
                <w:sz w:val="16"/>
                <w:szCs w:val="16"/>
                <w:lang w:eastAsia="hr-HR"/>
              </w:rPr>
              <w:t>298,154</w:t>
            </w:r>
          </w:p>
        </w:tc>
        <w:tc>
          <w:tcPr>
            <w:tcW w:w="960" w:type="dxa"/>
            <w:tcBorders>
              <w:top w:val="nil"/>
              <w:left w:val="nil"/>
              <w:bottom w:val="single" w:sz="4" w:space="0" w:color="000080"/>
              <w:right w:val="single" w:sz="4" w:space="0" w:color="000080"/>
            </w:tcBorders>
            <w:shd w:val="clear" w:color="000000" w:fill="DCE6F1"/>
            <w:noWrap/>
            <w:vAlign w:val="center"/>
            <w:hideMark/>
          </w:tcPr>
          <w:p w:rsidR="00F018E9" w:rsidRPr="003813DF" w:rsidRDefault="00F018E9" w:rsidP="00F018E9">
            <w:pPr>
              <w:spacing w:after="0" w:line="240" w:lineRule="auto"/>
              <w:jc w:val="right"/>
              <w:rPr>
                <w:rFonts w:ascii="Arial" w:eastAsia="Times New Roman" w:hAnsi="Arial" w:cs="Arial"/>
                <w:color w:val="000000"/>
                <w:sz w:val="16"/>
                <w:szCs w:val="16"/>
                <w:lang w:eastAsia="hr-HR"/>
              </w:rPr>
            </w:pPr>
            <w:r w:rsidRPr="003813DF">
              <w:rPr>
                <w:rFonts w:ascii="Arial" w:eastAsia="Times New Roman" w:hAnsi="Arial" w:cs="Arial"/>
                <w:color w:val="000000"/>
                <w:sz w:val="16"/>
                <w:szCs w:val="16"/>
                <w:lang w:eastAsia="hr-HR"/>
              </w:rPr>
              <w:t>120,714</w:t>
            </w:r>
          </w:p>
        </w:tc>
        <w:tc>
          <w:tcPr>
            <w:tcW w:w="960" w:type="dxa"/>
            <w:tcBorders>
              <w:top w:val="nil"/>
              <w:left w:val="nil"/>
              <w:bottom w:val="single" w:sz="4" w:space="0" w:color="000080"/>
              <w:right w:val="single" w:sz="4" w:space="0" w:color="000080"/>
            </w:tcBorders>
            <w:shd w:val="clear" w:color="000000" w:fill="DCE6F1"/>
            <w:noWrap/>
            <w:vAlign w:val="center"/>
            <w:hideMark/>
          </w:tcPr>
          <w:p w:rsidR="00F018E9" w:rsidRPr="003813DF" w:rsidRDefault="00F018E9" w:rsidP="00F018E9">
            <w:pPr>
              <w:spacing w:after="0" w:line="240" w:lineRule="auto"/>
              <w:jc w:val="right"/>
              <w:rPr>
                <w:rFonts w:ascii="Arial" w:eastAsia="Times New Roman" w:hAnsi="Arial" w:cs="Arial"/>
                <w:color w:val="000000"/>
                <w:sz w:val="16"/>
                <w:szCs w:val="16"/>
                <w:lang w:eastAsia="hr-HR"/>
              </w:rPr>
            </w:pPr>
            <w:r w:rsidRPr="003813DF">
              <w:rPr>
                <w:rFonts w:ascii="Arial" w:eastAsia="Times New Roman" w:hAnsi="Arial" w:cs="Arial"/>
                <w:color w:val="000000"/>
                <w:sz w:val="16"/>
                <w:szCs w:val="16"/>
                <w:lang w:eastAsia="hr-HR"/>
              </w:rPr>
              <w:t>47,275</w:t>
            </w:r>
          </w:p>
        </w:tc>
        <w:tc>
          <w:tcPr>
            <w:tcW w:w="960" w:type="dxa"/>
            <w:tcBorders>
              <w:top w:val="nil"/>
              <w:left w:val="nil"/>
              <w:bottom w:val="single" w:sz="4" w:space="0" w:color="000080"/>
              <w:right w:val="single" w:sz="4" w:space="0" w:color="000080"/>
            </w:tcBorders>
            <w:shd w:val="clear" w:color="000000" w:fill="DCE6F1"/>
            <w:noWrap/>
            <w:vAlign w:val="center"/>
            <w:hideMark/>
          </w:tcPr>
          <w:p w:rsidR="00F018E9" w:rsidRPr="003813DF" w:rsidRDefault="00F018E9" w:rsidP="00F018E9">
            <w:pPr>
              <w:spacing w:after="0" w:line="240" w:lineRule="auto"/>
              <w:jc w:val="right"/>
              <w:rPr>
                <w:rFonts w:ascii="Arial" w:eastAsia="Times New Roman" w:hAnsi="Arial" w:cs="Arial"/>
                <w:color w:val="000000"/>
                <w:sz w:val="16"/>
                <w:szCs w:val="16"/>
                <w:lang w:eastAsia="hr-HR"/>
              </w:rPr>
            </w:pPr>
            <w:r w:rsidRPr="003813DF">
              <w:rPr>
                <w:rFonts w:ascii="Arial" w:eastAsia="Times New Roman" w:hAnsi="Arial" w:cs="Arial"/>
                <w:color w:val="000000"/>
                <w:sz w:val="16"/>
                <w:szCs w:val="16"/>
                <w:lang w:eastAsia="hr-HR"/>
              </w:rPr>
              <w:t>229,507</w:t>
            </w:r>
          </w:p>
        </w:tc>
      </w:tr>
      <w:tr w:rsidR="00F018E9" w:rsidRPr="003813DF" w:rsidTr="00E520B5">
        <w:trPr>
          <w:trHeight w:val="300"/>
          <w:jc w:val="center"/>
        </w:trPr>
        <w:tc>
          <w:tcPr>
            <w:tcW w:w="1360" w:type="dxa"/>
            <w:tcBorders>
              <w:top w:val="nil"/>
              <w:left w:val="single" w:sz="4" w:space="0" w:color="000080"/>
              <w:bottom w:val="single" w:sz="4" w:space="0" w:color="000080"/>
              <w:right w:val="single" w:sz="4" w:space="0" w:color="000080"/>
            </w:tcBorders>
            <w:shd w:val="clear" w:color="auto" w:fill="auto"/>
            <w:noWrap/>
            <w:vAlign w:val="center"/>
            <w:hideMark/>
          </w:tcPr>
          <w:p w:rsidR="00F018E9" w:rsidRPr="003813DF" w:rsidRDefault="00F018E9" w:rsidP="003813DF">
            <w:pPr>
              <w:spacing w:after="0" w:line="240" w:lineRule="auto"/>
              <w:ind w:firstLineChars="200" w:firstLine="320"/>
              <w:rPr>
                <w:rFonts w:ascii="Arial" w:eastAsia="Times New Roman" w:hAnsi="Arial" w:cs="Arial"/>
                <w:sz w:val="16"/>
                <w:szCs w:val="16"/>
                <w:lang w:eastAsia="hr-HR"/>
              </w:rPr>
            </w:pPr>
            <w:r w:rsidRPr="003813DF">
              <w:rPr>
                <w:rFonts w:ascii="Arial" w:eastAsia="Times New Roman" w:hAnsi="Arial" w:cs="Arial"/>
                <w:sz w:val="16"/>
                <w:szCs w:val="16"/>
                <w:lang w:eastAsia="hr-HR"/>
              </w:rPr>
              <w:t>- 1+2+8</w:t>
            </w:r>
          </w:p>
        </w:tc>
        <w:tc>
          <w:tcPr>
            <w:tcW w:w="960" w:type="dxa"/>
            <w:tcBorders>
              <w:top w:val="nil"/>
              <w:left w:val="nil"/>
              <w:bottom w:val="single" w:sz="4" w:space="0" w:color="000080"/>
              <w:right w:val="single" w:sz="4" w:space="0" w:color="000080"/>
            </w:tcBorders>
            <w:shd w:val="clear" w:color="auto" w:fill="auto"/>
            <w:noWrap/>
            <w:vAlign w:val="center"/>
            <w:hideMark/>
          </w:tcPr>
          <w:p w:rsidR="00F018E9" w:rsidRPr="005C4468" w:rsidRDefault="00F018E9" w:rsidP="00F018E9">
            <w:pPr>
              <w:spacing w:after="0" w:line="240" w:lineRule="auto"/>
              <w:jc w:val="right"/>
              <w:rPr>
                <w:rFonts w:ascii="Arial" w:eastAsia="Times New Roman" w:hAnsi="Arial" w:cs="Arial"/>
                <w:b/>
                <w:color w:val="000000"/>
                <w:sz w:val="16"/>
                <w:szCs w:val="16"/>
                <w:lang w:eastAsia="hr-HR"/>
              </w:rPr>
            </w:pPr>
            <w:r w:rsidRPr="005C4468">
              <w:rPr>
                <w:rFonts w:ascii="Arial" w:eastAsia="Times New Roman" w:hAnsi="Arial" w:cs="Arial"/>
                <w:b/>
                <w:color w:val="000000"/>
                <w:sz w:val="16"/>
                <w:szCs w:val="16"/>
                <w:lang w:eastAsia="hr-HR"/>
              </w:rPr>
              <w:t>625,307</w:t>
            </w:r>
          </w:p>
        </w:tc>
        <w:tc>
          <w:tcPr>
            <w:tcW w:w="960" w:type="dxa"/>
            <w:tcBorders>
              <w:top w:val="nil"/>
              <w:left w:val="nil"/>
              <w:bottom w:val="single" w:sz="4" w:space="0" w:color="000080"/>
              <w:right w:val="single" w:sz="4" w:space="0" w:color="000080"/>
            </w:tcBorders>
            <w:shd w:val="clear" w:color="auto" w:fill="auto"/>
            <w:noWrap/>
            <w:vAlign w:val="center"/>
            <w:hideMark/>
          </w:tcPr>
          <w:p w:rsidR="00F018E9" w:rsidRPr="003813DF" w:rsidRDefault="00F22A16" w:rsidP="00F018E9">
            <w:pPr>
              <w:spacing w:after="0" w:line="240" w:lineRule="auto"/>
              <w:jc w:val="right"/>
              <w:rPr>
                <w:rFonts w:ascii="Arial" w:eastAsia="Times New Roman" w:hAnsi="Arial" w:cs="Arial"/>
                <w:color w:val="000000"/>
                <w:sz w:val="16"/>
                <w:szCs w:val="16"/>
                <w:lang w:eastAsia="hr-HR"/>
              </w:rPr>
            </w:pPr>
            <w:r w:rsidRPr="003813DF">
              <w:rPr>
                <w:rFonts w:ascii="Arial" w:eastAsia="Times New Roman" w:hAnsi="Arial" w:cs="Arial"/>
                <w:color w:val="000000"/>
                <w:sz w:val="16"/>
                <w:szCs w:val="16"/>
                <w:lang w:eastAsia="hr-HR"/>
              </w:rPr>
              <w:t>0</w:t>
            </w:r>
            <w:r w:rsidR="00F018E9" w:rsidRPr="003813DF">
              <w:rPr>
                <w:rFonts w:ascii="Arial" w:eastAsia="Times New Roman" w:hAnsi="Arial" w:cs="Arial"/>
                <w:color w:val="000000"/>
                <w:sz w:val="16"/>
                <w:szCs w:val="16"/>
                <w:lang w:eastAsia="hr-HR"/>
              </w:rPr>
              <w:t>,023</w:t>
            </w:r>
          </w:p>
        </w:tc>
        <w:tc>
          <w:tcPr>
            <w:tcW w:w="960" w:type="dxa"/>
            <w:tcBorders>
              <w:top w:val="nil"/>
              <w:left w:val="nil"/>
              <w:bottom w:val="single" w:sz="4" w:space="0" w:color="000080"/>
              <w:right w:val="single" w:sz="4" w:space="0" w:color="000080"/>
            </w:tcBorders>
            <w:shd w:val="clear" w:color="auto" w:fill="auto"/>
            <w:noWrap/>
            <w:vAlign w:val="center"/>
            <w:hideMark/>
          </w:tcPr>
          <w:p w:rsidR="00F018E9" w:rsidRPr="003813DF" w:rsidRDefault="00F018E9" w:rsidP="00F018E9">
            <w:pPr>
              <w:spacing w:after="0" w:line="240" w:lineRule="auto"/>
              <w:jc w:val="right"/>
              <w:rPr>
                <w:rFonts w:ascii="Arial" w:eastAsia="Times New Roman" w:hAnsi="Arial" w:cs="Arial"/>
                <w:color w:val="000000"/>
                <w:sz w:val="16"/>
                <w:szCs w:val="16"/>
                <w:lang w:eastAsia="hr-HR"/>
              </w:rPr>
            </w:pPr>
            <w:r w:rsidRPr="003813DF">
              <w:rPr>
                <w:rFonts w:ascii="Arial" w:eastAsia="Times New Roman" w:hAnsi="Arial" w:cs="Arial"/>
                <w:color w:val="000000"/>
                <w:sz w:val="16"/>
                <w:szCs w:val="16"/>
                <w:lang w:eastAsia="hr-HR"/>
              </w:rPr>
              <w:t>234,445</w:t>
            </w:r>
          </w:p>
        </w:tc>
        <w:tc>
          <w:tcPr>
            <w:tcW w:w="960" w:type="dxa"/>
            <w:tcBorders>
              <w:top w:val="nil"/>
              <w:left w:val="nil"/>
              <w:bottom w:val="single" w:sz="4" w:space="0" w:color="000080"/>
              <w:right w:val="single" w:sz="4" w:space="0" w:color="000080"/>
            </w:tcBorders>
            <w:shd w:val="clear" w:color="auto" w:fill="auto"/>
            <w:noWrap/>
            <w:vAlign w:val="center"/>
            <w:hideMark/>
          </w:tcPr>
          <w:p w:rsidR="00F018E9" w:rsidRPr="003813DF" w:rsidRDefault="00F018E9" w:rsidP="00F018E9">
            <w:pPr>
              <w:spacing w:after="0" w:line="240" w:lineRule="auto"/>
              <w:jc w:val="right"/>
              <w:rPr>
                <w:rFonts w:ascii="Arial" w:eastAsia="Times New Roman" w:hAnsi="Arial" w:cs="Arial"/>
                <w:color w:val="000000"/>
                <w:sz w:val="16"/>
                <w:szCs w:val="16"/>
                <w:lang w:eastAsia="hr-HR"/>
              </w:rPr>
            </w:pPr>
            <w:r w:rsidRPr="003813DF">
              <w:rPr>
                <w:rFonts w:ascii="Arial" w:eastAsia="Times New Roman" w:hAnsi="Arial" w:cs="Arial"/>
                <w:color w:val="000000"/>
                <w:sz w:val="16"/>
                <w:szCs w:val="16"/>
                <w:lang w:eastAsia="hr-HR"/>
              </w:rPr>
              <w:t>120,213</w:t>
            </w:r>
          </w:p>
        </w:tc>
        <w:tc>
          <w:tcPr>
            <w:tcW w:w="960" w:type="dxa"/>
            <w:tcBorders>
              <w:top w:val="nil"/>
              <w:left w:val="nil"/>
              <w:bottom w:val="single" w:sz="4" w:space="0" w:color="000080"/>
              <w:right w:val="single" w:sz="4" w:space="0" w:color="000080"/>
            </w:tcBorders>
            <w:shd w:val="clear" w:color="auto" w:fill="auto"/>
            <w:noWrap/>
            <w:vAlign w:val="center"/>
            <w:hideMark/>
          </w:tcPr>
          <w:p w:rsidR="00F018E9" w:rsidRPr="003813DF" w:rsidRDefault="00F018E9" w:rsidP="00F018E9">
            <w:pPr>
              <w:spacing w:after="0" w:line="240" w:lineRule="auto"/>
              <w:jc w:val="right"/>
              <w:rPr>
                <w:rFonts w:ascii="Arial" w:eastAsia="Times New Roman" w:hAnsi="Arial" w:cs="Arial"/>
                <w:color w:val="000000"/>
                <w:sz w:val="16"/>
                <w:szCs w:val="16"/>
                <w:lang w:eastAsia="hr-HR"/>
              </w:rPr>
            </w:pPr>
            <w:r w:rsidRPr="003813DF">
              <w:rPr>
                <w:rFonts w:ascii="Arial" w:eastAsia="Times New Roman" w:hAnsi="Arial" w:cs="Arial"/>
                <w:color w:val="000000"/>
                <w:sz w:val="16"/>
                <w:szCs w:val="16"/>
                <w:lang w:eastAsia="hr-HR"/>
              </w:rPr>
              <w:t>45,631</w:t>
            </w:r>
          </w:p>
        </w:tc>
        <w:tc>
          <w:tcPr>
            <w:tcW w:w="960" w:type="dxa"/>
            <w:tcBorders>
              <w:top w:val="nil"/>
              <w:left w:val="nil"/>
              <w:bottom w:val="single" w:sz="4" w:space="0" w:color="000080"/>
              <w:right w:val="single" w:sz="4" w:space="0" w:color="000080"/>
            </w:tcBorders>
            <w:shd w:val="clear" w:color="auto" w:fill="auto"/>
            <w:noWrap/>
            <w:vAlign w:val="center"/>
            <w:hideMark/>
          </w:tcPr>
          <w:p w:rsidR="00F018E9" w:rsidRPr="003813DF" w:rsidRDefault="00F018E9" w:rsidP="00F018E9">
            <w:pPr>
              <w:spacing w:after="0" w:line="240" w:lineRule="auto"/>
              <w:jc w:val="right"/>
              <w:rPr>
                <w:rFonts w:ascii="Arial" w:eastAsia="Times New Roman" w:hAnsi="Arial" w:cs="Arial"/>
                <w:color w:val="000000"/>
                <w:sz w:val="16"/>
                <w:szCs w:val="16"/>
                <w:lang w:eastAsia="hr-HR"/>
              </w:rPr>
            </w:pPr>
            <w:r w:rsidRPr="003813DF">
              <w:rPr>
                <w:rFonts w:ascii="Arial" w:eastAsia="Times New Roman" w:hAnsi="Arial" w:cs="Arial"/>
                <w:color w:val="000000"/>
                <w:sz w:val="16"/>
                <w:szCs w:val="16"/>
                <w:lang w:eastAsia="hr-HR"/>
              </w:rPr>
              <w:t>224,994</w:t>
            </w:r>
          </w:p>
        </w:tc>
      </w:tr>
      <w:tr w:rsidR="00F018E9" w:rsidRPr="003813DF" w:rsidTr="00E520B5">
        <w:trPr>
          <w:trHeight w:val="300"/>
          <w:jc w:val="center"/>
        </w:trPr>
        <w:tc>
          <w:tcPr>
            <w:tcW w:w="1360" w:type="dxa"/>
            <w:tcBorders>
              <w:top w:val="nil"/>
              <w:left w:val="single" w:sz="4" w:space="0" w:color="000080"/>
              <w:bottom w:val="single" w:sz="4" w:space="0" w:color="000080"/>
              <w:right w:val="single" w:sz="4" w:space="0" w:color="000080"/>
            </w:tcBorders>
            <w:shd w:val="clear" w:color="auto" w:fill="auto"/>
            <w:noWrap/>
            <w:vAlign w:val="center"/>
            <w:hideMark/>
          </w:tcPr>
          <w:p w:rsidR="00F018E9" w:rsidRPr="003813DF" w:rsidRDefault="00F018E9" w:rsidP="003813DF">
            <w:pPr>
              <w:spacing w:after="0" w:line="240" w:lineRule="auto"/>
              <w:ind w:firstLineChars="200" w:firstLine="320"/>
              <w:rPr>
                <w:rFonts w:ascii="Arial" w:eastAsia="Times New Roman" w:hAnsi="Arial" w:cs="Arial"/>
                <w:sz w:val="16"/>
                <w:szCs w:val="16"/>
                <w:lang w:eastAsia="hr-HR"/>
              </w:rPr>
            </w:pPr>
            <w:r w:rsidRPr="003813DF">
              <w:rPr>
                <w:rFonts w:ascii="Arial" w:eastAsia="Times New Roman" w:hAnsi="Arial" w:cs="Arial"/>
                <w:sz w:val="16"/>
                <w:szCs w:val="16"/>
                <w:lang w:eastAsia="hr-HR"/>
              </w:rPr>
              <w:t>- ostali izvori</w:t>
            </w:r>
          </w:p>
        </w:tc>
        <w:tc>
          <w:tcPr>
            <w:tcW w:w="960" w:type="dxa"/>
            <w:tcBorders>
              <w:top w:val="nil"/>
              <w:left w:val="nil"/>
              <w:bottom w:val="single" w:sz="4" w:space="0" w:color="000080"/>
              <w:right w:val="single" w:sz="4" w:space="0" w:color="000080"/>
            </w:tcBorders>
            <w:shd w:val="clear" w:color="auto" w:fill="auto"/>
            <w:noWrap/>
            <w:vAlign w:val="center"/>
            <w:hideMark/>
          </w:tcPr>
          <w:p w:rsidR="00F018E9" w:rsidRPr="005C4468" w:rsidRDefault="00F018E9" w:rsidP="00F018E9">
            <w:pPr>
              <w:spacing w:after="0" w:line="240" w:lineRule="auto"/>
              <w:jc w:val="right"/>
              <w:rPr>
                <w:rFonts w:ascii="Arial" w:eastAsia="Times New Roman" w:hAnsi="Arial" w:cs="Arial"/>
                <w:b/>
                <w:color w:val="000000"/>
                <w:sz w:val="16"/>
                <w:szCs w:val="16"/>
                <w:lang w:eastAsia="hr-HR"/>
              </w:rPr>
            </w:pPr>
            <w:r w:rsidRPr="005C4468">
              <w:rPr>
                <w:rFonts w:ascii="Arial" w:eastAsia="Times New Roman" w:hAnsi="Arial" w:cs="Arial"/>
                <w:b/>
                <w:color w:val="000000"/>
                <w:sz w:val="16"/>
                <w:szCs w:val="16"/>
                <w:lang w:eastAsia="hr-HR"/>
              </w:rPr>
              <w:t>70,576</w:t>
            </w:r>
          </w:p>
        </w:tc>
        <w:tc>
          <w:tcPr>
            <w:tcW w:w="960" w:type="dxa"/>
            <w:tcBorders>
              <w:top w:val="nil"/>
              <w:left w:val="nil"/>
              <w:bottom w:val="single" w:sz="4" w:space="0" w:color="000080"/>
              <w:right w:val="single" w:sz="4" w:space="0" w:color="000080"/>
            </w:tcBorders>
            <w:shd w:val="clear" w:color="auto" w:fill="auto"/>
            <w:noWrap/>
            <w:vAlign w:val="center"/>
            <w:hideMark/>
          </w:tcPr>
          <w:p w:rsidR="00F018E9" w:rsidRPr="003813DF" w:rsidRDefault="00F22A16" w:rsidP="00F018E9">
            <w:pPr>
              <w:spacing w:after="0" w:line="240" w:lineRule="auto"/>
              <w:jc w:val="right"/>
              <w:rPr>
                <w:rFonts w:ascii="Arial" w:eastAsia="Times New Roman" w:hAnsi="Arial" w:cs="Arial"/>
                <w:color w:val="000000"/>
                <w:sz w:val="16"/>
                <w:szCs w:val="16"/>
                <w:lang w:eastAsia="hr-HR"/>
              </w:rPr>
            </w:pPr>
            <w:r w:rsidRPr="003813DF">
              <w:rPr>
                <w:rFonts w:ascii="Arial" w:eastAsia="Times New Roman" w:hAnsi="Arial" w:cs="Arial"/>
                <w:color w:val="000000"/>
                <w:sz w:val="16"/>
                <w:szCs w:val="16"/>
                <w:lang w:eastAsia="hr-HR"/>
              </w:rPr>
              <w:t>0</w:t>
            </w:r>
            <w:r w:rsidR="00F018E9" w:rsidRPr="003813DF">
              <w:rPr>
                <w:rFonts w:ascii="Arial" w:eastAsia="Times New Roman" w:hAnsi="Arial" w:cs="Arial"/>
                <w:color w:val="000000"/>
                <w:sz w:val="16"/>
                <w:szCs w:val="16"/>
                <w:lang w:eastAsia="hr-HR"/>
              </w:rPr>
              <w:t>,21</w:t>
            </w:r>
            <w:r w:rsidRPr="003813DF">
              <w:rPr>
                <w:rFonts w:ascii="Arial" w:eastAsia="Times New Roman" w:hAnsi="Arial" w:cs="Arial"/>
                <w:color w:val="000000"/>
                <w:sz w:val="16"/>
                <w:szCs w:val="16"/>
                <w:lang w:eastAsia="hr-HR"/>
              </w:rPr>
              <w:t>0</w:t>
            </w:r>
          </w:p>
        </w:tc>
        <w:tc>
          <w:tcPr>
            <w:tcW w:w="960" w:type="dxa"/>
            <w:tcBorders>
              <w:top w:val="nil"/>
              <w:left w:val="nil"/>
              <w:bottom w:val="single" w:sz="4" w:space="0" w:color="000080"/>
              <w:right w:val="single" w:sz="4" w:space="0" w:color="000080"/>
            </w:tcBorders>
            <w:shd w:val="clear" w:color="auto" w:fill="auto"/>
            <w:noWrap/>
            <w:vAlign w:val="center"/>
            <w:hideMark/>
          </w:tcPr>
          <w:p w:rsidR="00F018E9" w:rsidRPr="003813DF" w:rsidRDefault="00F018E9" w:rsidP="00F018E9">
            <w:pPr>
              <w:spacing w:after="0" w:line="240" w:lineRule="auto"/>
              <w:jc w:val="right"/>
              <w:rPr>
                <w:rFonts w:ascii="Arial" w:eastAsia="Times New Roman" w:hAnsi="Arial" w:cs="Arial"/>
                <w:color w:val="000000"/>
                <w:sz w:val="16"/>
                <w:szCs w:val="16"/>
                <w:lang w:eastAsia="hr-HR"/>
              </w:rPr>
            </w:pPr>
            <w:r w:rsidRPr="003813DF">
              <w:rPr>
                <w:rFonts w:ascii="Arial" w:eastAsia="Times New Roman" w:hAnsi="Arial" w:cs="Arial"/>
                <w:color w:val="000000"/>
                <w:sz w:val="16"/>
                <w:szCs w:val="16"/>
                <w:lang w:eastAsia="hr-HR"/>
              </w:rPr>
              <w:t>63,708</w:t>
            </w:r>
          </w:p>
        </w:tc>
        <w:tc>
          <w:tcPr>
            <w:tcW w:w="960" w:type="dxa"/>
            <w:tcBorders>
              <w:top w:val="nil"/>
              <w:left w:val="nil"/>
              <w:bottom w:val="single" w:sz="4" w:space="0" w:color="000080"/>
              <w:right w:val="single" w:sz="4" w:space="0" w:color="000080"/>
            </w:tcBorders>
            <w:shd w:val="clear" w:color="auto" w:fill="auto"/>
            <w:noWrap/>
            <w:vAlign w:val="center"/>
            <w:hideMark/>
          </w:tcPr>
          <w:p w:rsidR="00F018E9" w:rsidRPr="003813DF" w:rsidRDefault="00F22A16" w:rsidP="00F018E9">
            <w:pPr>
              <w:spacing w:after="0" w:line="240" w:lineRule="auto"/>
              <w:jc w:val="right"/>
              <w:rPr>
                <w:rFonts w:ascii="Arial" w:eastAsia="Times New Roman" w:hAnsi="Arial" w:cs="Arial"/>
                <w:color w:val="000000"/>
                <w:sz w:val="16"/>
                <w:szCs w:val="16"/>
                <w:lang w:eastAsia="hr-HR"/>
              </w:rPr>
            </w:pPr>
            <w:r w:rsidRPr="003813DF">
              <w:rPr>
                <w:rFonts w:ascii="Arial" w:eastAsia="Times New Roman" w:hAnsi="Arial" w:cs="Arial"/>
                <w:color w:val="000000"/>
                <w:sz w:val="16"/>
                <w:szCs w:val="16"/>
                <w:lang w:eastAsia="hr-HR"/>
              </w:rPr>
              <w:t>0</w:t>
            </w:r>
            <w:r w:rsidR="00F018E9" w:rsidRPr="003813DF">
              <w:rPr>
                <w:rFonts w:ascii="Arial" w:eastAsia="Times New Roman" w:hAnsi="Arial" w:cs="Arial"/>
                <w:color w:val="000000"/>
                <w:sz w:val="16"/>
                <w:szCs w:val="16"/>
                <w:lang w:eastAsia="hr-HR"/>
              </w:rPr>
              <w:t>,501</w:t>
            </w:r>
          </w:p>
        </w:tc>
        <w:tc>
          <w:tcPr>
            <w:tcW w:w="960" w:type="dxa"/>
            <w:tcBorders>
              <w:top w:val="nil"/>
              <w:left w:val="nil"/>
              <w:bottom w:val="single" w:sz="4" w:space="0" w:color="000080"/>
              <w:right w:val="single" w:sz="4" w:space="0" w:color="000080"/>
            </w:tcBorders>
            <w:shd w:val="clear" w:color="auto" w:fill="auto"/>
            <w:noWrap/>
            <w:vAlign w:val="center"/>
            <w:hideMark/>
          </w:tcPr>
          <w:p w:rsidR="00F018E9" w:rsidRPr="003813DF" w:rsidRDefault="00F018E9" w:rsidP="00F018E9">
            <w:pPr>
              <w:spacing w:after="0" w:line="240" w:lineRule="auto"/>
              <w:jc w:val="right"/>
              <w:rPr>
                <w:rFonts w:ascii="Arial" w:eastAsia="Times New Roman" w:hAnsi="Arial" w:cs="Arial"/>
                <w:color w:val="000000"/>
                <w:sz w:val="16"/>
                <w:szCs w:val="16"/>
                <w:lang w:eastAsia="hr-HR"/>
              </w:rPr>
            </w:pPr>
            <w:r w:rsidRPr="003813DF">
              <w:rPr>
                <w:rFonts w:ascii="Arial" w:eastAsia="Times New Roman" w:hAnsi="Arial" w:cs="Arial"/>
                <w:color w:val="000000"/>
                <w:sz w:val="16"/>
                <w:szCs w:val="16"/>
                <w:lang w:eastAsia="hr-HR"/>
              </w:rPr>
              <w:t>1,644</w:t>
            </w:r>
          </w:p>
        </w:tc>
        <w:tc>
          <w:tcPr>
            <w:tcW w:w="960" w:type="dxa"/>
            <w:tcBorders>
              <w:top w:val="nil"/>
              <w:left w:val="nil"/>
              <w:bottom w:val="single" w:sz="4" w:space="0" w:color="000080"/>
              <w:right w:val="single" w:sz="4" w:space="0" w:color="000080"/>
            </w:tcBorders>
            <w:shd w:val="clear" w:color="auto" w:fill="auto"/>
            <w:noWrap/>
            <w:vAlign w:val="center"/>
            <w:hideMark/>
          </w:tcPr>
          <w:p w:rsidR="00F018E9" w:rsidRPr="003813DF" w:rsidRDefault="00F018E9" w:rsidP="00F018E9">
            <w:pPr>
              <w:spacing w:after="0" w:line="240" w:lineRule="auto"/>
              <w:jc w:val="right"/>
              <w:rPr>
                <w:rFonts w:ascii="Arial" w:eastAsia="Times New Roman" w:hAnsi="Arial" w:cs="Arial"/>
                <w:color w:val="000000"/>
                <w:sz w:val="16"/>
                <w:szCs w:val="16"/>
                <w:lang w:eastAsia="hr-HR"/>
              </w:rPr>
            </w:pPr>
            <w:r w:rsidRPr="003813DF">
              <w:rPr>
                <w:rFonts w:ascii="Arial" w:eastAsia="Times New Roman" w:hAnsi="Arial" w:cs="Arial"/>
                <w:color w:val="000000"/>
                <w:sz w:val="16"/>
                <w:szCs w:val="16"/>
                <w:lang w:eastAsia="hr-HR"/>
              </w:rPr>
              <w:t>4,513</w:t>
            </w:r>
          </w:p>
        </w:tc>
      </w:tr>
    </w:tbl>
    <w:p w:rsidR="00BB3DBE" w:rsidRPr="00FA7F54" w:rsidRDefault="00BB3DBE" w:rsidP="00E8112A">
      <w:pPr>
        <w:spacing w:after="0" w:line="240" w:lineRule="auto"/>
        <w:rPr>
          <w:rFonts w:ascii="Times New Roman" w:hAnsi="Times New Roman" w:cs="Times New Roman"/>
        </w:rPr>
      </w:pPr>
    </w:p>
    <w:p w:rsidR="00C45595" w:rsidRPr="00FA7F54" w:rsidRDefault="00C45595" w:rsidP="00C45595">
      <w:pPr>
        <w:shd w:val="clear" w:color="auto" w:fill="FFFFFF"/>
        <w:spacing w:after="0" w:line="240" w:lineRule="auto"/>
        <w:ind w:firstLine="360"/>
        <w:jc w:val="both"/>
        <w:rPr>
          <w:rFonts w:ascii="Times New Roman" w:hAnsi="Times New Roman" w:cs="Times New Roman"/>
          <w:u w:val="single"/>
        </w:rPr>
      </w:pPr>
      <w:r w:rsidRPr="00FA7F54">
        <w:rPr>
          <w:rFonts w:ascii="Times New Roman" w:hAnsi="Times New Roman" w:cs="Times New Roman"/>
          <w:u w:val="single"/>
        </w:rPr>
        <w:t>Mjere za smanjenje odnosno optimizaciju rashoda:</w:t>
      </w:r>
    </w:p>
    <w:p w:rsidR="00E54BF6" w:rsidRDefault="00C45595" w:rsidP="00083A57">
      <w:pPr>
        <w:pStyle w:val="Odlomakpopisa"/>
        <w:numPr>
          <w:ilvl w:val="0"/>
          <w:numId w:val="13"/>
        </w:numPr>
        <w:spacing w:after="0" w:line="240" w:lineRule="auto"/>
        <w:ind w:left="0" w:firstLine="360"/>
        <w:jc w:val="both"/>
        <w:rPr>
          <w:rFonts w:ascii="Times New Roman" w:hAnsi="Times New Roman" w:cs="Times New Roman"/>
        </w:rPr>
      </w:pPr>
      <w:r w:rsidRPr="00FA7F54">
        <w:rPr>
          <w:rFonts w:ascii="Times New Roman" w:hAnsi="Times New Roman" w:cs="Times New Roman"/>
        </w:rPr>
        <w:t xml:space="preserve">Procjena </w:t>
      </w:r>
      <w:r w:rsidRPr="00FA7F54">
        <w:rPr>
          <w:rFonts w:ascii="Times New Roman" w:eastAsia="Times New Roman" w:hAnsi="Times New Roman"/>
          <w:lang w:eastAsia="hr-HR"/>
        </w:rPr>
        <w:t>učinkovitog i djelotvornog funkcioniranja sustava financijskog upravljanja i kontrola</w:t>
      </w:r>
      <w:r w:rsidRPr="00FA7F54">
        <w:rPr>
          <w:rFonts w:ascii="Times New Roman" w:hAnsi="Times New Roman" w:cs="Times New Roman"/>
        </w:rPr>
        <w:t>: Prosječna cijena najma poslovnog prostora (zakupnine) i garažnih mjesta po m</w:t>
      </w:r>
      <w:r w:rsidR="00E520B5">
        <w:rPr>
          <w:rFonts w:ascii="Times New Roman" w:hAnsi="Times New Roman" w:cs="Times New Roman"/>
          <w:vertAlign w:val="superscript"/>
        </w:rPr>
        <w:t>2</w:t>
      </w:r>
      <w:r w:rsidRPr="00FA7F54">
        <w:rPr>
          <w:rFonts w:ascii="Times New Roman" w:hAnsi="Times New Roman" w:cs="Times New Roman"/>
        </w:rPr>
        <w:t xml:space="preserve"> poslovnog prostora.</w:t>
      </w:r>
    </w:p>
    <w:p w:rsidR="0060661F" w:rsidRDefault="0060661F" w:rsidP="00083A57">
      <w:pPr>
        <w:spacing w:after="0" w:line="240" w:lineRule="auto"/>
        <w:jc w:val="both"/>
        <w:rPr>
          <w:rFonts w:ascii="Times New Roman" w:hAnsi="Times New Roman" w:cs="Times New Roman"/>
        </w:rPr>
      </w:pPr>
      <w:r w:rsidRPr="00E54BF6">
        <w:rPr>
          <w:rFonts w:ascii="Times New Roman" w:hAnsi="Times New Roman" w:cs="Times New Roman"/>
        </w:rPr>
        <w:t xml:space="preserve">Iz rezultata dubinske analize agencija proizlazi da od pravnih osoba koje plaćaju najam poslovnog prostora trećina plaća manje od 8 </w:t>
      </w:r>
      <w:proofErr w:type="spellStart"/>
      <w:r w:rsidRPr="00E54BF6">
        <w:rPr>
          <w:rFonts w:ascii="Times New Roman" w:hAnsi="Times New Roman" w:cs="Times New Roman"/>
        </w:rPr>
        <w:t>eur</w:t>
      </w:r>
      <w:proofErr w:type="spellEnd"/>
      <w:r w:rsidRPr="00E54BF6">
        <w:rPr>
          <w:rFonts w:ascii="Times New Roman" w:hAnsi="Times New Roman" w:cs="Times New Roman"/>
        </w:rPr>
        <w:t xml:space="preserve"> po m</w:t>
      </w:r>
      <w:r w:rsidR="00E520B5">
        <w:rPr>
          <w:rFonts w:ascii="Times New Roman" w:hAnsi="Times New Roman" w:cs="Times New Roman"/>
          <w:vertAlign w:val="superscript"/>
        </w:rPr>
        <w:t>2</w:t>
      </w:r>
      <w:r w:rsidRPr="00E54BF6">
        <w:rPr>
          <w:rFonts w:ascii="Times New Roman" w:hAnsi="Times New Roman" w:cs="Times New Roman"/>
        </w:rPr>
        <w:t xml:space="preserve"> dok ih deset posto plaća najam veći od 11 </w:t>
      </w:r>
      <w:proofErr w:type="spellStart"/>
      <w:r w:rsidRPr="00E54BF6">
        <w:rPr>
          <w:rFonts w:ascii="Times New Roman" w:hAnsi="Times New Roman" w:cs="Times New Roman"/>
        </w:rPr>
        <w:t>eur</w:t>
      </w:r>
      <w:proofErr w:type="spellEnd"/>
      <w:r w:rsidRPr="00E54BF6">
        <w:rPr>
          <w:rFonts w:ascii="Times New Roman" w:hAnsi="Times New Roman" w:cs="Times New Roman"/>
        </w:rPr>
        <w:t xml:space="preserve"> po m</w:t>
      </w:r>
      <w:r w:rsidR="00E520B5">
        <w:rPr>
          <w:rFonts w:ascii="Times New Roman" w:hAnsi="Times New Roman" w:cs="Times New Roman"/>
          <w:vertAlign w:val="superscript"/>
        </w:rPr>
        <w:t>2</w:t>
      </w:r>
      <w:r w:rsidRPr="00E54BF6">
        <w:rPr>
          <w:rFonts w:ascii="Times New Roman" w:hAnsi="Times New Roman" w:cs="Times New Roman"/>
        </w:rPr>
        <w:t xml:space="preserve">. </w:t>
      </w:r>
      <w:r w:rsidR="00611AB9" w:rsidRPr="00E54BF6">
        <w:rPr>
          <w:rFonts w:ascii="Times New Roman" w:hAnsi="Times New Roman" w:cs="Times New Roman"/>
        </w:rPr>
        <w:t xml:space="preserve">Svi korisnici koji </w:t>
      </w:r>
      <w:r w:rsidR="00550166">
        <w:rPr>
          <w:rFonts w:ascii="Times New Roman" w:hAnsi="Times New Roman" w:cs="Times New Roman"/>
        </w:rPr>
        <w:t xml:space="preserve">plaćaju </w:t>
      </w:r>
      <w:r w:rsidR="00611AB9" w:rsidRPr="00E54BF6">
        <w:rPr>
          <w:rFonts w:ascii="Times New Roman" w:hAnsi="Times New Roman" w:cs="Times New Roman"/>
        </w:rPr>
        <w:t xml:space="preserve">najam veći od 11 </w:t>
      </w:r>
      <w:proofErr w:type="spellStart"/>
      <w:r w:rsidR="00611AB9" w:rsidRPr="00E54BF6">
        <w:rPr>
          <w:rFonts w:ascii="Times New Roman" w:hAnsi="Times New Roman" w:cs="Times New Roman"/>
        </w:rPr>
        <w:t>eur</w:t>
      </w:r>
      <w:proofErr w:type="spellEnd"/>
      <w:r w:rsidR="00611AB9" w:rsidRPr="00E54BF6">
        <w:rPr>
          <w:rFonts w:ascii="Times New Roman" w:hAnsi="Times New Roman" w:cs="Times New Roman"/>
        </w:rPr>
        <w:t xml:space="preserve"> po m</w:t>
      </w:r>
      <w:r w:rsidR="00E520B5">
        <w:rPr>
          <w:rFonts w:ascii="Times New Roman" w:hAnsi="Times New Roman" w:cs="Times New Roman"/>
          <w:vertAlign w:val="superscript"/>
        </w:rPr>
        <w:t>2</w:t>
      </w:r>
      <w:r w:rsidR="00611AB9" w:rsidRPr="00E54BF6">
        <w:rPr>
          <w:rFonts w:ascii="Times New Roman" w:hAnsi="Times New Roman" w:cs="Times New Roman"/>
        </w:rPr>
        <w:t xml:space="preserve"> </w:t>
      </w:r>
      <w:r w:rsidRPr="00E54BF6">
        <w:rPr>
          <w:rFonts w:ascii="Times New Roman" w:hAnsi="Times New Roman" w:cs="Times New Roman"/>
        </w:rPr>
        <w:t>obvezni su poduzeti mjere radi smanjenja troškova najma (povoljniji raspoloživi prostor DUUDI-a, gradskih prostora, pravnih ili fizičkih osoba</w:t>
      </w:r>
      <w:r w:rsidR="00313353">
        <w:rPr>
          <w:rFonts w:ascii="Times New Roman" w:hAnsi="Times New Roman" w:cs="Times New Roman"/>
        </w:rPr>
        <w:t xml:space="preserve">, u </w:t>
      </w:r>
      <w:r w:rsidR="00313353" w:rsidRPr="00313353">
        <w:rPr>
          <w:rFonts w:ascii="Times New Roman" w:hAnsi="Times New Roman" w:cs="Times New Roman"/>
        </w:rPr>
        <w:t>radnoj skupini razmotriti</w:t>
      </w:r>
      <w:r w:rsidR="00313353" w:rsidRPr="00FA7F54">
        <w:rPr>
          <w:rFonts w:ascii="Times New Roman" w:hAnsi="Times New Roman" w:cs="Times New Roman"/>
        </w:rPr>
        <w:t xml:space="preserve"> proširenje središnje javne nabave</w:t>
      </w:r>
      <w:r w:rsidR="00092C5C">
        <w:rPr>
          <w:rFonts w:ascii="Times New Roman" w:hAnsi="Times New Roman" w:cs="Times New Roman"/>
        </w:rPr>
        <w:t xml:space="preserve">, </w:t>
      </w:r>
      <w:r w:rsidR="00092C5C" w:rsidRPr="00FA7F54">
        <w:rPr>
          <w:rFonts w:ascii="Times New Roman" w:hAnsi="Times New Roman" w:cs="Times New Roman"/>
        </w:rPr>
        <w:t>kod unajmljivanja poslovnog prostora dati prednost nekretninama s višim energetskim razredom zgrade</w:t>
      </w:r>
      <w:r w:rsidRPr="00E54BF6">
        <w:rPr>
          <w:rFonts w:ascii="Times New Roman" w:hAnsi="Times New Roman" w:cs="Times New Roman"/>
        </w:rPr>
        <w:t xml:space="preserve">). </w:t>
      </w:r>
      <w:r w:rsidR="000A0781" w:rsidRPr="00E54BF6">
        <w:rPr>
          <w:rFonts w:ascii="Times New Roman" w:hAnsi="Times New Roman" w:cs="Times New Roman"/>
        </w:rPr>
        <w:t>U troškove zakupa poslovnog prostora ubrajaju se ukupni godišnji troškovi zakupa poslovnog prostora i parkirnih mjesta</w:t>
      </w:r>
      <w:r w:rsidR="009101E3" w:rsidRPr="00E54BF6">
        <w:rPr>
          <w:rFonts w:ascii="Times New Roman" w:hAnsi="Times New Roman" w:cs="Times New Roman"/>
        </w:rPr>
        <w:t>.</w:t>
      </w:r>
    </w:p>
    <w:p w:rsidR="00895DE2" w:rsidRDefault="00181E6A" w:rsidP="00F93A51">
      <w:pPr>
        <w:pStyle w:val="Odlomakpopisa"/>
        <w:numPr>
          <w:ilvl w:val="0"/>
          <w:numId w:val="13"/>
        </w:numPr>
        <w:spacing w:after="0" w:line="240" w:lineRule="auto"/>
        <w:ind w:left="0" w:firstLine="360"/>
        <w:jc w:val="both"/>
        <w:rPr>
          <w:rFonts w:ascii="Times New Roman" w:hAnsi="Times New Roman" w:cs="Times New Roman"/>
        </w:rPr>
      </w:pPr>
      <w:r w:rsidRPr="00936A75">
        <w:rPr>
          <w:rFonts w:ascii="Times New Roman" w:hAnsi="Times New Roman" w:cs="Times New Roman"/>
        </w:rPr>
        <w:t>Procjena učinkovitog i djelotvornog funkcioniranja sustava financijskog upravljanja i kontrola: Površina</w:t>
      </w:r>
      <w:r w:rsidR="0060661F" w:rsidRPr="00936A75">
        <w:rPr>
          <w:rFonts w:ascii="Times New Roman" w:hAnsi="Times New Roman" w:cs="Times New Roman"/>
        </w:rPr>
        <w:t xml:space="preserve"> poslovnog prostora po zaposlenom.</w:t>
      </w:r>
    </w:p>
    <w:p w:rsidR="00996A49" w:rsidRPr="00996A49" w:rsidRDefault="00996A49" w:rsidP="00996A49">
      <w:pPr>
        <w:spacing w:after="0" w:line="240" w:lineRule="auto"/>
        <w:jc w:val="both"/>
        <w:rPr>
          <w:rFonts w:ascii="Times New Roman" w:hAnsi="Times New Roman" w:cs="Times New Roman"/>
        </w:rPr>
      </w:pPr>
      <w:r w:rsidRPr="00996A49">
        <w:rPr>
          <w:rFonts w:ascii="Times New Roman" w:hAnsi="Times New Roman" w:cs="Times New Roman"/>
        </w:rPr>
        <w:t xml:space="preserve">Uredba o mjerilima i kriterijima dodjele na korištenje nekretnina za potrebe tijela državne uprave ili drugih tijela korisnika državnog proračuna te drugih osoba (Narodne novine, </w:t>
      </w:r>
      <w:r w:rsidR="00E520B5" w:rsidRPr="00996A49">
        <w:rPr>
          <w:rFonts w:ascii="Times New Roman" w:hAnsi="Times New Roman" w:cs="Times New Roman"/>
        </w:rPr>
        <w:t>br</w:t>
      </w:r>
      <w:r w:rsidR="00E520B5">
        <w:rPr>
          <w:rFonts w:ascii="Times New Roman" w:hAnsi="Times New Roman" w:cs="Times New Roman"/>
        </w:rPr>
        <w:t>.</w:t>
      </w:r>
      <w:r w:rsidR="00E520B5" w:rsidRPr="00996A49">
        <w:rPr>
          <w:rFonts w:ascii="Times New Roman" w:hAnsi="Times New Roman" w:cs="Times New Roman"/>
        </w:rPr>
        <w:t xml:space="preserve"> </w:t>
      </w:r>
      <w:r w:rsidRPr="00996A49">
        <w:rPr>
          <w:rFonts w:ascii="Times New Roman" w:hAnsi="Times New Roman" w:cs="Times New Roman"/>
        </w:rPr>
        <w:t xml:space="preserve">127/13) u članku 3. </w:t>
      </w:r>
      <w:r w:rsidR="00E520B5" w:rsidRPr="00996A49">
        <w:rPr>
          <w:rFonts w:ascii="Times New Roman" w:hAnsi="Times New Roman" w:cs="Times New Roman"/>
        </w:rPr>
        <w:t>stav</w:t>
      </w:r>
      <w:r w:rsidR="00E520B5">
        <w:rPr>
          <w:rFonts w:ascii="Times New Roman" w:hAnsi="Times New Roman" w:cs="Times New Roman"/>
        </w:rPr>
        <w:t>ku</w:t>
      </w:r>
      <w:r w:rsidR="00E520B5" w:rsidRPr="00996A49">
        <w:rPr>
          <w:rFonts w:ascii="Times New Roman" w:hAnsi="Times New Roman" w:cs="Times New Roman"/>
        </w:rPr>
        <w:t xml:space="preserve"> </w:t>
      </w:r>
      <w:r w:rsidRPr="00996A49">
        <w:rPr>
          <w:rFonts w:ascii="Times New Roman" w:hAnsi="Times New Roman" w:cs="Times New Roman"/>
        </w:rPr>
        <w:t>2. propisuje da površina po jednom zaposlenom djelatniku može iznositi do 15 m².</w:t>
      </w:r>
    </w:p>
    <w:p w:rsidR="00080536" w:rsidRPr="00936A75" w:rsidRDefault="00080536" w:rsidP="00996A49">
      <w:pPr>
        <w:pStyle w:val="Odlomakpopisa"/>
        <w:numPr>
          <w:ilvl w:val="0"/>
          <w:numId w:val="13"/>
        </w:numPr>
        <w:spacing w:after="0" w:line="240" w:lineRule="auto"/>
        <w:ind w:left="0" w:firstLine="360"/>
        <w:jc w:val="both"/>
        <w:rPr>
          <w:rFonts w:ascii="Times New Roman" w:hAnsi="Times New Roman" w:cs="Times New Roman"/>
        </w:rPr>
      </w:pPr>
      <w:r w:rsidRPr="00936A75">
        <w:rPr>
          <w:rFonts w:ascii="Times New Roman" w:hAnsi="Times New Roman" w:cs="Times New Roman"/>
        </w:rPr>
        <w:t>Na jedinstven način propisati unajmljivanje poslovnog prostora te poboljšati korištenje raspoloživog poslovnog prostora u vlasništvu RH</w:t>
      </w:r>
      <w:r w:rsidR="007A196D" w:rsidRPr="00936A75">
        <w:rPr>
          <w:rFonts w:ascii="Times New Roman" w:hAnsi="Times New Roman" w:cs="Times New Roman"/>
        </w:rPr>
        <w:t>.</w:t>
      </w:r>
      <w:r w:rsidRPr="00936A75">
        <w:rPr>
          <w:rFonts w:ascii="Times New Roman" w:hAnsi="Times New Roman" w:cs="Times New Roman"/>
        </w:rPr>
        <w:t xml:space="preserve"> </w:t>
      </w:r>
    </w:p>
    <w:p w:rsidR="005E10FB" w:rsidRPr="00936A75" w:rsidRDefault="005E10FB" w:rsidP="00922D60">
      <w:pPr>
        <w:pStyle w:val="Odlomakpopisa"/>
        <w:numPr>
          <w:ilvl w:val="0"/>
          <w:numId w:val="13"/>
        </w:numPr>
        <w:shd w:val="clear" w:color="auto" w:fill="FFFFFF"/>
        <w:spacing w:after="0" w:line="240" w:lineRule="auto"/>
        <w:jc w:val="both"/>
        <w:rPr>
          <w:rFonts w:ascii="Times New Roman" w:hAnsi="Times New Roman" w:cs="Times New Roman"/>
        </w:rPr>
      </w:pPr>
      <w:r w:rsidRPr="00936A75">
        <w:rPr>
          <w:rFonts w:ascii="Times New Roman" w:hAnsi="Times New Roman" w:cs="Times New Roman"/>
        </w:rPr>
        <w:t xml:space="preserve">Optimizacija/standardizacija proizvoda i usluga i ostvarivanja ušteda u javnoj potrošnji  kroz učinkoviti sustav središnje javne nabave </w:t>
      </w:r>
    </w:p>
    <w:p w:rsidR="005E10FB" w:rsidRPr="00936A75" w:rsidRDefault="005E10FB" w:rsidP="005E10FB">
      <w:pPr>
        <w:shd w:val="clear" w:color="auto" w:fill="FFFFFF"/>
        <w:spacing w:after="0" w:line="240" w:lineRule="auto"/>
        <w:jc w:val="both"/>
        <w:rPr>
          <w:rFonts w:ascii="Times New Roman" w:hAnsi="Times New Roman" w:cs="Times New Roman"/>
        </w:rPr>
      </w:pPr>
      <w:r w:rsidRPr="00936A75">
        <w:rPr>
          <w:rFonts w:ascii="Times New Roman" w:hAnsi="Times New Roman" w:cs="Times New Roman"/>
        </w:rPr>
        <w:t xml:space="preserve">Sukladno Uredbi o unutarnjem ustrojstvu Državnog ureda </w:t>
      </w:r>
      <w:r w:rsidR="00831C62">
        <w:rPr>
          <w:rFonts w:ascii="Times New Roman" w:hAnsi="Times New Roman" w:cs="Times New Roman"/>
        </w:rPr>
        <w:t xml:space="preserve">za središnju javnu nabavu, </w:t>
      </w:r>
      <w:r w:rsidRPr="00936A75">
        <w:rPr>
          <w:rFonts w:ascii="Times New Roman" w:hAnsi="Times New Roman" w:cs="Times New Roman"/>
        </w:rPr>
        <w:t xml:space="preserve">obveznici središnje javne nabave su u pravilu 34 tijela državne uprave za 17 nabavnih kategorija od kojih se jedna odnosi na </w:t>
      </w:r>
      <w:r w:rsidRPr="00936A75">
        <w:rPr>
          <w:rFonts w:ascii="Times New Roman" w:hAnsi="Times New Roman" w:cs="Times New Roman"/>
          <w:b/>
        </w:rPr>
        <w:t>licence za korištenje softvera</w:t>
      </w:r>
      <w:r w:rsidRPr="00936A75">
        <w:rPr>
          <w:rFonts w:ascii="Times New Roman" w:hAnsi="Times New Roman" w:cs="Times New Roman"/>
        </w:rPr>
        <w:t xml:space="preserve">. </w:t>
      </w:r>
    </w:p>
    <w:p w:rsidR="00AF3E98" w:rsidRPr="001B1A7A" w:rsidRDefault="00166D96" w:rsidP="007943E8">
      <w:pPr>
        <w:tabs>
          <w:tab w:val="left" w:pos="284"/>
          <w:tab w:val="left" w:pos="567"/>
        </w:tabs>
        <w:spacing w:after="0" w:line="240" w:lineRule="auto"/>
        <w:jc w:val="both"/>
        <w:rPr>
          <w:rFonts w:ascii="Times New Roman" w:hAnsi="Times New Roman" w:cs="Times New Roman"/>
          <w:sz w:val="24"/>
          <w:szCs w:val="24"/>
        </w:rPr>
      </w:pPr>
      <w:r w:rsidRPr="00936A75">
        <w:rPr>
          <w:rFonts w:ascii="Times New Roman" w:hAnsi="Times New Roman" w:cs="Times New Roman"/>
        </w:rPr>
        <w:t xml:space="preserve">U 2014. godini proveden je postupak nabave licenci za korištenje antivirusne, </w:t>
      </w:r>
      <w:proofErr w:type="spellStart"/>
      <w:r w:rsidRPr="00936A75">
        <w:rPr>
          <w:rFonts w:ascii="Times New Roman" w:hAnsi="Times New Roman" w:cs="Times New Roman"/>
        </w:rPr>
        <w:t>anti</w:t>
      </w:r>
      <w:r w:rsidR="00A066DE" w:rsidRPr="00936A75">
        <w:rPr>
          <w:rFonts w:ascii="Times New Roman" w:hAnsi="Times New Roman" w:cs="Times New Roman"/>
        </w:rPr>
        <w:t>spam</w:t>
      </w:r>
      <w:proofErr w:type="spellEnd"/>
      <w:r w:rsidR="00A066DE" w:rsidRPr="00936A75">
        <w:rPr>
          <w:rFonts w:ascii="Times New Roman" w:hAnsi="Times New Roman" w:cs="Times New Roman"/>
        </w:rPr>
        <w:t xml:space="preserve"> i slične programske opreme</w:t>
      </w:r>
      <w:r w:rsidR="00AF3E98">
        <w:rPr>
          <w:rFonts w:ascii="Times New Roman" w:hAnsi="Times New Roman" w:cs="Times New Roman"/>
        </w:rPr>
        <w:t xml:space="preserve"> </w:t>
      </w:r>
      <w:r w:rsidR="00AF3E98">
        <w:rPr>
          <w:rFonts w:ascii="Times New Roman" w:hAnsi="Times New Roman" w:cs="Times New Roman"/>
          <w:sz w:val="24"/>
          <w:szCs w:val="24"/>
        </w:rPr>
        <w:t>za 29</w:t>
      </w:r>
      <w:r w:rsidR="00AF3E98" w:rsidRPr="00F573B6">
        <w:rPr>
          <w:rFonts w:ascii="Times New Roman" w:hAnsi="Times New Roman" w:cs="Times New Roman"/>
          <w:sz w:val="24"/>
          <w:szCs w:val="24"/>
        </w:rPr>
        <w:t xml:space="preserve"> korisnika</w:t>
      </w:r>
      <w:r w:rsidR="00A066DE" w:rsidRPr="00936A75">
        <w:rPr>
          <w:rFonts w:ascii="Times New Roman" w:hAnsi="Times New Roman" w:cs="Times New Roman"/>
        </w:rPr>
        <w:t xml:space="preserve"> čija je procijenjena vrijednost nabave bez PDV-a bila 12 mil. kuna,</w:t>
      </w:r>
      <w:r w:rsidR="00AF3E98">
        <w:rPr>
          <w:rFonts w:ascii="Times New Roman" w:hAnsi="Times New Roman" w:cs="Times New Roman"/>
        </w:rPr>
        <w:t xml:space="preserve"> </w:t>
      </w:r>
      <w:r w:rsidR="00AF3E98" w:rsidRPr="00F573B6">
        <w:rPr>
          <w:rFonts w:ascii="Times New Roman" w:hAnsi="Times New Roman" w:cs="Times New Roman"/>
          <w:sz w:val="24"/>
          <w:szCs w:val="24"/>
        </w:rPr>
        <w:t>na razdoblje od tri godine s mogućnošću produljenja za još jednu godinu</w:t>
      </w:r>
      <w:r w:rsidR="00AF3E98">
        <w:rPr>
          <w:rFonts w:ascii="Times New Roman" w:hAnsi="Times New Roman" w:cs="Times New Roman"/>
          <w:sz w:val="24"/>
          <w:szCs w:val="24"/>
        </w:rPr>
        <w:t xml:space="preserve">. </w:t>
      </w:r>
      <w:r w:rsidR="00AF3E98" w:rsidRPr="00F573B6">
        <w:rPr>
          <w:rFonts w:ascii="Times New Roman" w:hAnsi="Times New Roman" w:cs="Times New Roman"/>
          <w:sz w:val="24"/>
          <w:szCs w:val="24"/>
        </w:rPr>
        <w:t>Sklopljen je okvirni sporazum s tri gospodarska subjekta te korisnici nakon provedbe postupka „mini nadmetanj</w:t>
      </w:r>
      <w:r w:rsidR="00AF3E98">
        <w:rPr>
          <w:rFonts w:ascii="Times New Roman" w:hAnsi="Times New Roman" w:cs="Times New Roman"/>
          <w:sz w:val="24"/>
          <w:szCs w:val="24"/>
        </w:rPr>
        <w:t>a“ sklapaju pojedinačne ugovore</w:t>
      </w:r>
      <w:r w:rsidR="00200204">
        <w:rPr>
          <w:rFonts w:ascii="Times New Roman" w:hAnsi="Times New Roman" w:cs="Times New Roman"/>
          <w:sz w:val="24"/>
          <w:szCs w:val="24"/>
        </w:rPr>
        <w:t xml:space="preserve">. </w:t>
      </w:r>
      <w:r w:rsidR="00200204" w:rsidRPr="00F573B6">
        <w:rPr>
          <w:rFonts w:ascii="Times New Roman" w:hAnsi="Times New Roman" w:cs="Times New Roman"/>
          <w:sz w:val="24"/>
          <w:szCs w:val="24"/>
        </w:rPr>
        <w:t>Provedbom postupka ostvarena je ušteda od 10.927.317 kuna (razlika od procijenjene vrijednosti do ponude najpovoljnijeg ponuditelja) te je najniža cijena pojedinačne licence iznosila 10,99 kuna. Neovisno o tome, zbog različitosti i specifičnosti pojedinih korisnika, u dosadašnjem razdoblju okvirni sporazum</w:t>
      </w:r>
      <w:r w:rsidR="00200204">
        <w:rPr>
          <w:rFonts w:ascii="Times New Roman" w:hAnsi="Times New Roman" w:cs="Times New Roman"/>
          <w:sz w:val="24"/>
          <w:szCs w:val="24"/>
        </w:rPr>
        <w:t xml:space="preserve"> se ne koristi od strane svih obveznika središnje nabave</w:t>
      </w:r>
      <w:r w:rsidR="00200204" w:rsidRPr="00F573B6">
        <w:rPr>
          <w:rFonts w:ascii="Times New Roman" w:hAnsi="Times New Roman" w:cs="Times New Roman"/>
          <w:sz w:val="24"/>
          <w:szCs w:val="24"/>
        </w:rPr>
        <w:t>.</w:t>
      </w:r>
    </w:p>
    <w:p w:rsidR="00AF3E98" w:rsidRPr="00A24C9B" w:rsidRDefault="006C794B" w:rsidP="007943E8">
      <w:pPr>
        <w:shd w:val="clear" w:color="auto" w:fill="FFFFFF"/>
        <w:spacing w:after="0" w:line="240" w:lineRule="auto"/>
        <w:jc w:val="both"/>
        <w:rPr>
          <w:rFonts w:ascii="Times New Roman" w:hAnsi="Times New Roman" w:cs="Times New Roman"/>
        </w:rPr>
      </w:pPr>
      <w:r w:rsidRPr="00936A75">
        <w:rPr>
          <w:rFonts w:ascii="Times New Roman" w:hAnsi="Times New Roman" w:cs="Times New Roman"/>
        </w:rPr>
        <w:t>U 2015. godini proveden je postupak nabave za ostale licence (Oracle) te su okvirni sporazumi sklopljeni u visini 26 mil. kuna.</w:t>
      </w:r>
      <w:r w:rsidR="003C4262" w:rsidRPr="00936A75">
        <w:rPr>
          <w:rFonts w:ascii="Times New Roman" w:hAnsi="Times New Roman" w:cs="Times New Roman"/>
        </w:rPr>
        <w:t xml:space="preserve"> </w:t>
      </w:r>
      <w:r w:rsidR="007943E8">
        <w:rPr>
          <w:rFonts w:ascii="Times New Roman" w:hAnsi="Times New Roman" w:cs="Times New Roman"/>
        </w:rPr>
        <w:t xml:space="preserve"> </w:t>
      </w:r>
      <w:r w:rsidR="003C4262" w:rsidRPr="00936A75">
        <w:rPr>
          <w:rFonts w:ascii="Times New Roman" w:hAnsi="Times New Roman" w:cs="Times New Roman"/>
        </w:rPr>
        <w:t>Za 2016. godinu planirano je provesti postupak nabave za Microsoft licence.</w:t>
      </w:r>
    </w:p>
    <w:p w:rsidR="00586E68" w:rsidRPr="00FA7F54" w:rsidRDefault="00586E68" w:rsidP="00586E68">
      <w:pPr>
        <w:pStyle w:val="Naslov2"/>
        <w:rPr>
          <w:rFonts w:ascii="Times New Roman" w:hAnsi="Times New Roman" w:cs="Times New Roman"/>
          <w:color w:val="auto"/>
          <w:sz w:val="22"/>
          <w:szCs w:val="22"/>
        </w:rPr>
      </w:pPr>
      <w:bookmarkStart w:id="89" w:name="_Toc434411193"/>
      <w:bookmarkStart w:id="90" w:name="_Toc436402336"/>
      <w:r w:rsidRPr="00FA7F54">
        <w:rPr>
          <w:rFonts w:ascii="Times New Roman" w:hAnsi="Times New Roman" w:cs="Times New Roman"/>
          <w:color w:val="auto"/>
          <w:sz w:val="22"/>
          <w:szCs w:val="22"/>
        </w:rPr>
        <w:t>ZDRAVSTVENE I VETERINARSKE USLUGE (3236)</w:t>
      </w:r>
      <w:bookmarkEnd w:id="89"/>
      <w:bookmarkEnd w:id="90"/>
    </w:p>
    <w:p w:rsidR="00A30D30" w:rsidRPr="00FA7F54" w:rsidRDefault="00A30D30" w:rsidP="00A30D30">
      <w:pPr>
        <w:spacing w:line="240" w:lineRule="auto"/>
        <w:jc w:val="both"/>
        <w:rPr>
          <w:rFonts w:ascii="Times New Roman" w:hAnsi="Times New Roman" w:cs="Times New Roman"/>
        </w:rPr>
      </w:pPr>
      <w:r w:rsidRPr="00FA7F54">
        <w:rPr>
          <w:rFonts w:ascii="Times New Roman" w:hAnsi="Times New Roman" w:cs="Times New Roman"/>
        </w:rPr>
        <w:t xml:space="preserve">Prema iskazanim podacima u financijskim izvještajima rashodi za zdravstvene i veterinarske usluge u 2013. godini iznosili su 359,1 mil. kuna, a u 2014. godini 373,5 mil. kuna. U državnom proračunu za </w:t>
      </w:r>
      <w:r w:rsidRPr="00FA7F54">
        <w:rPr>
          <w:rFonts w:ascii="Times New Roman" w:hAnsi="Times New Roman" w:cs="Times New Roman"/>
        </w:rPr>
        <w:lastRenderedPageBreak/>
        <w:t>2015. godinu planirano je 338,9 mil. kuna navedenih rashoda od čega se 265,</w:t>
      </w:r>
      <w:r w:rsidR="00AB29BA">
        <w:rPr>
          <w:rFonts w:ascii="Times New Roman" w:hAnsi="Times New Roman" w:cs="Times New Roman"/>
        </w:rPr>
        <w:t>4</w:t>
      </w:r>
      <w:r w:rsidR="00AB29BA" w:rsidRPr="00FA7F54">
        <w:rPr>
          <w:rFonts w:ascii="Times New Roman" w:hAnsi="Times New Roman" w:cs="Times New Roman"/>
        </w:rPr>
        <w:t xml:space="preserve"> </w:t>
      </w:r>
      <w:r w:rsidRPr="00FA7F54">
        <w:rPr>
          <w:rFonts w:ascii="Times New Roman" w:hAnsi="Times New Roman" w:cs="Times New Roman"/>
        </w:rPr>
        <w:t>mil.</w:t>
      </w:r>
      <w:r w:rsidR="00AB29BA">
        <w:rPr>
          <w:rFonts w:ascii="Times New Roman" w:hAnsi="Times New Roman" w:cs="Times New Roman"/>
        </w:rPr>
        <w:t xml:space="preserve"> kuna</w:t>
      </w:r>
      <w:r w:rsidRPr="00FA7F54">
        <w:rPr>
          <w:rFonts w:ascii="Times New Roman" w:hAnsi="Times New Roman" w:cs="Times New Roman"/>
        </w:rPr>
        <w:t xml:space="preserve"> financira iz izvora u limitu.</w:t>
      </w:r>
    </w:p>
    <w:p w:rsidR="00586E68" w:rsidRPr="00FA7F54" w:rsidRDefault="00A30D30" w:rsidP="00C83540">
      <w:pPr>
        <w:spacing w:line="240" w:lineRule="auto"/>
        <w:rPr>
          <w:rFonts w:ascii="Times New Roman" w:hAnsi="Times New Roman" w:cs="Times New Roman"/>
        </w:rPr>
      </w:pPr>
      <w:r w:rsidRPr="00FA7F54">
        <w:rPr>
          <w:rFonts w:ascii="Times New Roman" w:hAnsi="Times New Roman" w:cs="Times New Roman"/>
        </w:rPr>
        <w:t>Najveći dio rashoda odnos</w:t>
      </w:r>
      <w:r w:rsidR="00E46A3F">
        <w:rPr>
          <w:rFonts w:ascii="Times New Roman" w:hAnsi="Times New Roman" w:cs="Times New Roman"/>
        </w:rPr>
        <w:t>i se na tijela izvršne vlasti</w:t>
      </w:r>
      <w:r w:rsidR="009255F9">
        <w:rPr>
          <w:rFonts w:ascii="Times New Roman" w:hAnsi="Times New Roman" w:cs="Times New Roman"/>
        </w:rPr>
        <w:t xml:space="preserve"> (Ministarstvo poljoprivrede)</w:t>
      </w:r>
      <w:r w:rsidRPr="00FA7F54">
        <w:rPr>
          <w:rFonts w:ascii="Times New Roman" w:hAnsi="Times New Roman" w:cs="Times New Roman"/>
        </w:rPr>
        <w:t>.</w:t>
      </w:r>
    </w:p>
    <w:p w:rsidR="00586E68" w:rsidRPr="00AB29BA" w:rsidRDefault="009835A2" w:rsidP="00AB29BA">
      <w:pPr>
        <w:pStyle w:val="Opisslike"/>
        <w:spacing w:after="0"/>
        <w:jc w:val="both"/>
        <w:rPr>
          <w:rFonts w:ascii="Times New Roman" w:hAnsi="Times New Roman" w:cs="Times New Roman"/>
          <w:sz w:val="20"/>
          <w:szCs w:val="20"/>
        </w:rPr>
      </w:pPr>
      <w:bookmarkStart w:id="91" w:name="_Toc436402289"/>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42</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8B31F6" w:rsidRPr="006B7B79">
        <w:rPr>
          <w:rFonts w:ascii="Times New Roman" w:hAnsi="Times New Roman" w:cs="Times New Roman"/>
          <w:sz w:val="20"/>
          <w:szCs w:val="20"/>
        </w:rPr>
        <w:t xml:space="preserve"> Zdravstvene i veterinarske usluge prema podacima iskazanim u financijskim izvještajima proračunskih i izvanproračunskih korisnika za 2013. i 2014. godinu te planu Državnog proračuna za 2015. godinu</w:t>
      </w:r>
      <w:bookmarkEnd w:id="91"/>
    </w:p>
    <w:p w:rsidR="003829FF" w:rsidRPr="00FA7F54" w:rsidRDefault="004810A5" w:rsidP="00AB29BA">
      <w:pPr>
        <w:spacing w:line="240" w:lineRule="auto"/>
        <w:jc w:val="both"/>
        <w:rPr>
          <w:rFonts w:ascii="Times New Roman" w:hAnsi="Times New Roman" w:cs="Times New Roman"/>
        </w:rPr>
      </w:pPr>
      <w:r w:rsidRPr="004810A5">
        <w:rPr>
          <w:noProof/>
          <w:lang w:eastAsia="hr-HR"/>
        </w:rPr>
        <w:drawing>
          <wp:inline distT="0" distB="0" distL="0" distR="0" wp14:anchorId="5CBAAE20" wp14:editId="00B6FC23">
            <wp:extent cx="5760720" cy="333561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3335614"/>
                    </a:xfrm>
                    <a:prstGeom prst="rect">
                      <a:avLst/>
                    </a:prstGeom>
                    <a:noFill/>
                    <a:ln>
                      <a:noFill/>
                    </a:ln>
                  </pic:spPr>
                </pic:pic>
              </a:graphicData>
            </a:graphic>
          </wp:inline>
        </w:drawing>
      </w:r>
    </w:p>
    <w:p w:rsidR="004514E4" w:rsidRPr="00FA7F54" w:rsidRDefault="006F7B85" w:rsidP="007E2CB9">
      <w:pPr>
        <w:spacing w:line="240" w:lineRule="auto"/>
        <w:jc w:val="both"/>
        <w:rPr>
          <w:rFonts w:ascii="Times New Roman" w:hAnsi="Times New Roman" w:cs="Times New Roman"/>
        </w:rPr>
      </w:pPr>
      <w:r w:rsidRPr="00FA7F54">
        <w:rPr>
          <w:rFonts w:ascii="Times New Roman" w:hAnsi="Times New Roman" w:cs="Times New Roman"/>
        </w:rPr>
        <w:t>Navedeni rashodi uključuju</w:t>
      </w:r>
      <w:r>
        <w:rPr>
          <w:rFonts w:ascii="Times New Roman" w:hAnsi="Times New Roman" w:cs="Times New Roman"/>
        </w:rPr>
        <w:t xml:space="preserve"> rashode za obvezne i preventivne zdravstvene preglede zaposlenika, veterinarske usluge, laboratorijske usluge te ostale zdravstvene i veterinarske usluge. </w:t>
      </w:r>
    </w:p>
    <w:p w:rsidR="004514E4" w:rsidRPr="00AB29BA" w:rsidRDefault="009835A2" w:rsidP="006B7B79">
      <w:pPr>
        <w:pStyle w:val="Opisslike"/>
        <w:spacing w:after="0"/>
        <w:jc w:val="both"/>
        <w:rPr>
          <w:rFonts w:ascii="Times New Roman" w:hAnsi="Times New Roman" w:cs="Times New Roman"/>
          <w:sz w:val="20"/>
          <w:szCs w:val="20"/>
        </w:rPr>
      </w:pPr>
      <w:bookmarkStart w:id="92" w:name="_Toc436402290"/>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43</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D12B4F" w:rsidRPr="006B7B79">
        <w:rPr>
          <w:rFonts w:ascii="Times New Roman" w:hAnsi="Times New Roman" w:cs="Times New Roman"/>
          <w:sz w:val="20"/>
          <w:szCs w:val="20"/>
        </w:rPr>
        <w:t xml:space="preserve"> Zdravstvene i veterinarske usluge prema podacima iskazanim u državnom proračunu – izvršenje za 2014. (u mil.</w:t>
      </w:r>
      <w:r w:rsidR="00AB29BA">
        <w:rPr>
          <w:rFonts w:ascii="Times New Roman" w:hAnsi="Times New Roman" w:cs="Times New Roman"/>
          <w:sz w:val="20"/>
          <w:szCs w:val="20"/>
        </w:rPr>
        <w:t xml:space="preserve"> kuna</w:t>
      </w:r>
      <w:r w:rsidR="00D12B4F" w:rsidRPr="006B7B79">
        <w:rPr>
          <w:rFonts w:ascii="Times New Roman" w:hAnsi="Times New Roman" w:cs="Times New Roman"/>
          <w:sz w:val="20"/>
          <w:szCs w:val="20"/>
        </w:rPr>
        <w:t>)</w:t>
      </w:r>
      <w:bookmarkEnd w:id="92"/>
    </w:p>
    <w:tbl>
      <w:tblPr>
        <w:tblW w:w="6620" w:type="dxa"/>
        <w:jc w:val="center"/>
        <w:tblInd w:w="93" w:type="dxa"/>
        <w:tblLook w:val="04A0" w:firstRow="1" w:lastRow="0" w:firstColumn="1" w:lastColumn="0" w:noHBand="0" w:noVBand="1"/>
      </w:tblPr>
      <w:tblGrid>
        <w:gridCol w:w="1360"/>
        <w:gridCol w:w="1159"/>
        <w:gridCol w:w="1061"/>
        <w:gridCol w:w="1115"/>
        <w:gridCol w:w="1221"/>
        <w:gridCol w:w="1088"/>
      </w:tblGrid>
      <w:tr w:rsidR="004514E4" w:rsidRPr="006F7B85" w:rsidTr="00AB29BA">
        <w:trPr>
          <w:trHeight w:val="1110"/>
          <w:jc w:val="center"/>
        </w:trPr>
        <w:tc>
          <w:tcPr>
            <w:tcW w:w="1360"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4514E4" w:rsidRPr="006F7B85" w:rsidRDefault="004514E4" w:rsidP="00AB29BA">
            <w:pPr>
              <w:spacing w:after="0" w:line="240" w:lineRule="auto"/>
              <w:jc w:val="center"/>
              <w:rPr>
                <w:rFonts w:ascii="Arial" w:eastAsia="Times New Roman" w:hAnsi="Arial" w:cs="Arial"/>
                <w:b/>
                <w:bCs/>
                <w:sz w:val="16"/>
                <w:szCs w:val="16"/>
                <w:lang w:eastAsia="hr-HR"/>
              </w:rPr>
            </w:pPr>
            <w:r w:rsidRPr="006F7B85">
              <w:rPr>
                <w:rFonts w:ascii="Arial" w:eastAsia="Times New Roman" w:hAnsi="Arial" w:cs="Arial"/>
                <w:b/>
                <w:bCs/>
                <w:sz w:val="16"/>
                <w:szCs w:val="16"/>
                <w:lang w:eastAsia="hr-HR"/>
              </w:rPr>
              <w:t>Izvršenje 2014.</w:t>
            </w:r>
          </w:p>
        </w:tc>
        <w:tc>
          <w:tcPr>
            <w:tcW w:w="1140" w:type="dxa"/>
            <w:tcBorders>
              <w:top w:val="single" w:sz="4" w:space="0" w:color="000080"/>
              <w:left w:val="nil"/>
              <w:bottom w:val="single" w:sz="4" w:space="0" w:color="000080"/>
              <w:right w:val="single" w:sz="4" w:space="0" w:color="000080"/>
            </w:tcBorders>
            <w:shd w:val="clear" w:color="000000" w:fill="DCE6F1"/>
            <w:vAlign w:val="center"/>
            <w:hideMark/>
          </w:tcPr>
          <w:p w:rsidR="004514E4" w:rsidRPr="006F7B85" w:rsidRDefault="004514E4" w:rsidP="00AB29BA">
            <w:pPr>
              <w:spacing w:after="0" w:line="240" w:lineRule="auto"/>
              <w:jc w:val="center"/>
              <w:rPr>
                <w:rFonts w:ascii="Arial" w:eastAsia="Times New Roman" w:hAnsi="Arial" w:cs="Arial"/>
                <w:b/>
                <w:color w:val="000000"/>
                <w:sz w:val="16"/>
                <w:szCs w:val="16"/>
                <w:lang w:eastAsia="hr-HR"/>
              </w:rPr>
            </w:pPr>
            <w:r w:rsidRPr="006F7B85">
              <w:rPr>
                <w:rFonts w:ascii="Arial" w:eastAsia="Times New Roman" w:hAnsi="Arial" w:cs="Arial"/>
                <w:b/>
                <w:color w:val="000000"/>
                <w:sz w:val="16"/>
                <w:szCs w:val="16"/>
                <w:lang w:eastAsia="hr-HR"/>
              </w:rPr>
              <w:t>Zdravstvene i veterinarske usluge</w:t>
            </w:r>
          </w:p>
        </w:tc>
        <w:tc>
          <w:tcPr>
            <w:tcW w:w="960" w:type="dxa"/>
            <w:tcBorders>
              <w:top w:val="single" w:sz="4" w:space="0" w:color="000080"/>
              <w:left w:val="nil"/>
              <w:bottom w:val="single" w:sz="4" w:space="0" w:color="000080"/>
              <w:right w:val="single" w:sz="4" w:space="0" w:color="000080"/>
            </w:tcBorders>
            <w:shd w:val="clear" w:color="000000" w:fill="DCE6F1"/>
            <w:vAlign w:val="center"/>
            <w:hideMark/>
          </w:tcPr>
          <w:p w:rsidR="004514E4" w:rsidRPr="006F7B85" w:rsidRDefault="004514E4" w:rsidP="00AB29BA">
            <w:pPr>
              <w:spacing w:after="0" w:line="240" w:lineRule="auto"/>
              <w:jc w:val="center"/>
              <w:rPr>
                <w:rFonts w:ascii="Arial" w:eastAsia="Times New Roman" w:hAnsi="Arial" w:cs="Arial"/>
                <w:color w:val="000000"/>
                <w:sz w:val="16"/>
                <w:szCs w:val="16"/>
                <w:lang w:eastAsia="hr-HR"/>
              </w:rPr>
            </w:pPr>
            <w:r w:rsidRPr="006F7B85">
              <w:rPr>
                <w:rFonts w:ascii="Arial" w:eastAsia="Times New Roman" w:hAnsi="Arial" w:cs="Arial"/>
                <w:color w:val="000000"/>
                <w:sz w:val="16"/>
                <w:szCs w:val="16"/>
                <w:lang w:eastAsia="hr-HR"/>
              </w:rPr>
              <w:t>Obvezni i preventivni zdravstveni pregledi zaposle</w:t>
            </w:r>
            <w:r w:rsidR="006F7B85">
              <w:rPr>
                <w:rFonts w:ascii="Arial" w:eastAsia="Times New Roman" w:hAnsi="Arial" w:cs="Arial"/>
                <w:color w:val="000000"/>
                <w:sz w:val="16"/>
                <w:szCs w:val="16"/>
                <w:lang w:eastAsia="hr-HR"/>
              </w:rPr>
              <w:t>nika</w:t>
            </w:r>
          </w:p>
        </w:tc>
        <w:tc>
          <w:tcPr>
            <w:tcW w:w="1020" w:type="dxa"/>
            <w:tcBorders>
              <w:top w:val="single" w:sz="4" w:space="0" w:color="000080"/>
              <w:left w:val="nil"/>
              <w:bottom w:val="single" w:sz="4" w:space="0" w:color="000080"/>
              <w:right w:val="single" w:sz="4" w:space="0" w:color="000080"/>
            </w:tcBorders>
            <w:shd w:val="clear" w:color="000000" w:fill="DCE6F1"/>
            <w:vAlign w:val="center"/>
            <w:hideMark/>
          </w:tcPr>
          <w:p w:rsidR="004514E4" w:rsidRPr="006F7B85" w:rsidRDefault="004514E4" w:rsidP="00AB29BA">
            <w:pPr>
              <w:spacing w:after="0" w:line="240" w:lineRule="auto"/>
              <w:jc w:val="center"/>
              <w:rPr>
                <w:rFonts w:ascii="Arial" w:eastAsia="Times New Roman" w:hAnsi="Arial" w:cs="Arial"/>
                <w:color w:val="000000"/>
                <w:sz w:val="16"/>
                <w:szCs w:val="16"/>
                <w:lang w:eastAsia="hr-HR"/>
              </w:rPr>
            </w:pPr>
            <w:r w:rsidRPr="006F7B85">
              <w:rPr>
                <w:rFonts w:ascii="Arial" w:eastAsia="Times New Roman" w:hAnsi="Arial" w:cs="Arial"/>
                <w:color w:val="000000"/>
                <w:sz w:val="16"/>
                <w:szCs w:val="16"/>
                <w:lang w:eastAsia="hr-HR"/>
              </w:rPr>
              <w:t>Veterinarske usluge</w:t>
            </w:r>
          </w:p>
        </w:tc>
        <w:tc>
          <w:tcPr>
            <w:tcW w:w="1100" w:type="dxa"/>
            <w:tcBorders>
              <w:top w:val="single" w:sz="4" w:space="0" w:color="000080"/>
              <w:left w:val="nil"/>
              <w:bottom w:val="single" w:sz="4" w:space="0" w:color="000080"/>
              <w:right w:val="single" w:sz="4" w:space="0" w:color="000080"/>
            </w:tcBorders>
            <w:shd w:val="clear" w:color="000000" w:fill="DCE6F1"/>
            <w:vAlign w:val="center"/>
            <w:hideMark/>
          </w:tcPr>
          <w:p w:rsidR="004514E4" w:rsidRPr="006F7B85" w:rsidRDefault="004514E4" w:rsidP="00AB29BA">
            <w:pPr>
              <w:spacing w:after="0" w:line="240" w:lineRule="auto"/>
              <w:jc w:val="center"/>
              <w:rPr>
                <w:rFonts w:ascii="Arial" w:eastAsia="Times New Roman" w:hAnsi="Arial" w:cs="Arial"/>
                <w:color w:val="000000"/>
                <w:sz w:val="16"/>
                <w:szCs w:val="16"/>
                <w:lang w:eastAsia="hr-HR"/>
              </w:rPr>
            </w:pPr>
            <w:r w:rsidRPr="006F7B85">
              <w:rPr>
                <w:rFonts w:ascii="Arial" w:eastAsia="Times New Roman" w:hAnsi="Arial" w:cs="Arial"/>
                <w:color w:val="000000"/>
                <w:sz w:val="16"/>
                <w:szCs w:val="16"/>
                <w:lang w:eastAsia="hr-HR"/>
              </w:rPr>
              <w:t>Laboratorijske usluge</w:t>
            </w:r>
          </w:p>
        </w:tc>
        <w:tc>
          <w:tcPr>
            <w:tcW w:w="1040" w:type="dxa"/>
            <w:tcBorders>
              <w:top w:val="single" w:sz="4" w:space="0" w:color="000080"/>
              <w:left w:val="nil"/>
              <w:bottom w:val="single" w:sz="4" w:space="0" w:color="000080"/>
              <w:right w:val="single" w:sz="4" w:space="0" w:color="000080"/>
            </w:tcBorders>
            <w:shd w:val="clear" w:color="000000" w:fill="DCE6F1"/>
            <w:vAlign w:val="center"/>
            <w:hideMark/>
          </w:tcPr>
          <w:p w:rsidR="004514E4" w:rsidRPr="006F7B85" w:rsidRDefault="004514E4" w:rsidP="00AB29BA">
            <w:pPr>
              <w:spacing w:after="0" w:line="240" w:lineRule="auto"/>
              <w:jc w:val="center"/>
              <w:rPr>
                <w:rFonts w:ascii="Arial" w:eastAsia="Times New Roman" w:hAnsi="Arial" w:cs="Arial"/>
                <w:color w:val="000000"/>
                <w:sz w:val="16"/>
                <w:szCs w:val="16"/>
                <w:lang w:eastAsia="hr-HR"/>
              </w:rPr>
            </w:pPr>
            <w:r w:rsidRPr="006F7B85">
              <w:rPr>
                <w:rFonts w:ascii="Arial" w:eastAsia="Times New Roman" w:hAnsi="Arial" w:cs="Arial"/>
                <w:color w:val="000000"/>
                <w:sz w:val="16"/>
                <w:szCs w:val="16"/>
                <w:lang w:eastAsia="hr-HR"/>
              </w:rPr>
              <w:t>Ostale zdravstvene i veterinarske usluge</w:t>
            </w:r>
          </w:p>
        </w:tc>
      </w:tr>
      <w:tr w:rsidR="004514E4" w:rsidRPr="006F7B85" w:rsidTr="00AB29BA">
        <w:trPr>
          <w:trHeight w:val="300"/>
          <w:jc w:val="center"/>
        </w:trPr>
        <w:tc>
          <w:tcPr>
            <w:tcW w:w="1360" w:type="dxa"/>
            <w:tcBorders>
              <w:top w:val="nil"/>
              <w:left w:val="single" w:sz="4" w:space="0" w:color="000080"/>
              <w:bottom w:val="single" w:sz="4" w:space="0" w:color="000080"/>
              <w:right w:val="single" w:sz="4" w:space="0" w:color="000080"/>
            </w:tcBorders>
            <w:shd w:val="clear" w:color="000000" w:fill="DCE6F1"/>
            <w:noWrap/>
            <w:vAlign w:val="center"/>
            <w:hideMark/>
          </w:tcPr>
          <w:p w:rsidR="004514E4" w:rsidRPr="006F7B85" w:rsidRDefault="004514E4" w:rsidP="006F7B85">
            <w:pPr>
              <w:spacing w:after="0" w:line="240" w:lineRule="auto"/>
              <w:ind w:firstLineChars="200" w:firstLine="320"/>
              <w:rPr>
                <w:rFonts w:ascii="Arial" w:eastAsia="Times New Roman" w:hAnsi="Arial" w:cs="Arial"/>
                <w:sz w:val="16"/>
                <w:szCs w:val="16"/>
                <w:lang w:eastAsia="hr-HR"/>
              </w:rPr>
            </w:pPr>
            <w:r w:rsidRPr="006F7B85">
              <w:rPr>
                <w:rFonts w:ascii="Arial" w:eastAsia="Times New Roman" w:hAnsi="Arial" w:cs="Arial"/>
                <w:sz w:val="16"/>
                <w:szCs w:val="16"/>
                <w:lang w:eastAsia="hr-HR"/>
              </w:rPr>
              <w:t>- Ukupno</w:t>
            </w:r>
          </w:p>
        </w:tc>
        <w:tc>
          <w:tcPr>
            <w:tcW w:w="1140" w:type="dxa"/>
            <w:tcBorders>
              <w:top w:val="nil"/>
              <w:left w:val="nil"/>
              <w:bottom w:val="single" w:sz="4" w:space="0" w:color="000080"/>
              <w:right w:val="single" w:sz="4" w:space="0" w:color="000080"/>
            </w:tcBorders>
            <w:shd w:val="clear" w:color="000000" w:fill="DCE6F1"/>
            <w:noWrap/>
            <w:vAlign w:val="center"/>
            <w:hideMark/>
          </w:tcPr>
          <w:p w:rsidR="004514E4" w:rsidRPr="006F7B85" w:rsidRDefault="004514E4" w:rsidP="004514E4">
            <w:pPr>
              <w:spacing w:after="0" w:line="240" w:lineRule="auto"/>
              <w:jc w:val="right"/>
              <w:rPr>
                <w:rFonts w:ascii="Arial" w:eastAsia="Times New Roman" w:hAnsi="Arial" w:cs="Arial"/>
                <w:b/>
                <w:color w:val="000000"/>
                <w:sz w:val="16"/>
                <w:szCs w:val="16"/>
                <w:lang w:eastAsia="hr-HR"/>
              </w:rPr>
            </w:pPr>
            <w:r w:rsidRPr="006F7B85">
              <w:rPr>
                <w:rFonts w:ascii="Arial" w:eastAsia="Times New Roman" w:hAnsi="Arial" w:cs="Arial"/>
                <w:b/>
                <w:color w:val="000000"/>
                <w:sz w:val="16"/>
                <w:szCs w:val="16"/>
                <w:lang w:eastAsia="hr-HR"/>
              </w:rPr>
              <w:t>315,46</w:t>
            </w:r>
            <w:r w:rsidR="00CE344C" w:rsidRPr="006F7B85">
              <w:rPr>
                <w:rFonts w:ascii="Arial" w:eastAsia="Times New Roman" w:hAnsi="Arial" w:cs="Arial"/>
                <w:b/>
                <w:color w:val="000000"/>
                <w:sz w:val="16"/>
                <w:szCs w:val="16"/>
                <w:lang w:eastAsia="hr-HR"/>
              </w:rPr>
              <w:t>0</w:t>
            </w:r>
          </w:p>
        </w:tc>
        <w:tc>
          <w:tcPr>
            <w:tcW w:w="960" w:type="dxa"/>
            <w:tcBorders>
              <w:top w:val="nil"/>
              <w:left w:val="nil"/>
              <w:bottom w:val="single" w:sz="4" w:space="0" w:color="000080"/>
              <w:right w:val="single" w:sz="4" w:space="0" w:color="000080"/>
            </w:tcBorders>
            <w:shd w:val="clear" w:color="000000" w:fill="DCE6F1"/>
            <w:noWrap/>
            <w:vAlign w:val="center"/>
            <w:hideMark/>
          </w:tcPr>
          <w:p w:rsidR="004514E4" w:rsidRPr="006F7B85" w:rsidRDefault="004514E4" w:rsidP="004514E4">
            <w:pPr>
              <w:spacing w:after="0" w:line="240" w:lineRule="auto"/>
              <w:jc w:val="right"/>
              <w:rPr>
                <w:rFonts w:ascii="Arial" w:eastAsia="Times New Roman" w:hAnsi="Arial" w:cs="Arial"/>
                <w:color w:val="000000"/>
                <w:sz w:val="16"/>
                <w:szCs w:val="16"/>
                <w:lang w:eastAsia="hr-HR"/>
              </w:rPr>
            </w:pPr>
            <w:r w:rsidRPr="006F7B85">
              <w:rPr>
                <w:rFonts w:ascii="Arial" w:eastAsia="Times New Roman" w:hAnsi="Arial" w:cs="Arial"/>
                <w:color w:val="000000"/>
                <w:sz w:val="16"/>
                <w:szCs w:val="16"/>
                <w:lang w:eastAsia="hr-HR"/>
              </w:rPr>
              <w:t>19,859</w:t>
            </w:r>
          </w:p>
        </w:tc>
        <w:tc>
          <w:tcPr>
            <w:tcW w:w="1020" w:type="dxa"/>
            <w:tcBorders>
              <w:top w:val="nil"/>
              <w:left w:val="nil"/>
              <w:bottom w:val="single" w:sz="4" w:space="0" w:color="000080"/>
              <w:right w:val="single" w:sz="4" w:space="0" w:color="000080"/>
            </w:tcBorders>
            <w:shd w:val="clear" w:color="000000" w:fill="DCE6F1"/>
            <w:noWrap/>
            <w:vAlign w:val="center"/>
            <w:hideMark/>
          </w:tcPr>
          <w:p w:rsidR="004514E4" w:rsidRPr="006F7B85" w:rsidRDefault="004514E4" w:rsidP="004514E4">
            <w:pPr>
              <w:spacing w:after="0" w:line="240" w:lineRule="auto"/>
              <w:jc w:val="right"/>
              <w:rPr>
                <w:rFonts w:ascii="Arial" w:eastAsia="Times New Roman" w:hAnsi="Arial" w:cs="Arial"/>
                <w:color w:val="000000"/>
                <w:sz w:val="16"/>
                <w:szCs w:val="16"/>
                <w:lang w:eastAsia="hr-HR"/>
              </w:rPr>
            </w:pPr>
            <w:r w:rsidRPr="006F7B85">
              <w:rPr>
                <w:rFonts w:ascii="Arial" w:eastAsia="Times New Roman" w:hAnsi="Arial" w:cs="Arial"/>
                <w:color w:val="000000"/>
                <w:sz w:val="16"/>
                <w:szCs w:val="16"/>
                <w:lang w:eastAsia="hr-HR"/>
              </w:rPr>
              <w:t>259,019</w:t>
            </w:r>
          </w:p>
        </w:tc>
        <w:tc>
          <w:tcPr>
            <w:tcW w:w="1100" w:type="dxa"/>
            <w:tcBorders>
              <w:top w:val="nil"/>
              <w:left w:val="nil"/>
              <w:bottom w:val="single" w:sz="4" w:space="0" w:color="000080"/>
              <w:right w:val="single" w:sz="4" w:space="0" w:color="000080"/>
            </w:tcBorders>
            <w:shd w:val="clear" w:color="000000" w:fill="DCE6F1"/>
            <w:noWrap/>
            <w:vAlign w:val="center"/>
            <w:hideMark/>
          </w:tcPr>
          <w:p w:rsidR="004514E4" w:rsidRPr="006F7B85" w:rsidRDefault="004514E4" w:rsidP="004514E4">
            <w:pPr>
              <w:spacing w:after="0" w:line="240" w:lineRule="auto"/>
              <w:jc w:val="right"/>
              <w:rPr>
                <w:rFonts w:ascii="Arial" w:eastAsia="Times New Roman" w:hAnsi="Arial" w:cs="Arial"/>
                <w:color w:val="000000"/>
                <w:sz w:val="16"/>
                <w:szCs w:val="16"/>
                <w:lang w:eastAsia="hr-HR"/>
              </w:rPr>
            </w:pPr>
            <w:r w:rsidRPr="006F7B85">
              <w:rPr>
                <w:rFonts w:ascii="Arial" w:eastAsia="Times New Roman" w:hAnsi="Arial" w:cs="Arial"/>
                <w:color w:val="000000"/>
                <w:sz w:val="16"/>
                <w:szCs w:val="16"/>
                <w:lang w:eastAsia="hr-HR"/>
              </w:rPr>
              <w:t>8,72</w:t>
            </w:r>
            <w:r w:rsidR="00CE344C" w:rsidRPr="006F7B85">
              <w:rPr>
                <w:rFonts w:ascii="Arial" w:eastAsia="Times New Roman" w:hAnsi="Arial" w:cs="Arial"/>
                <w:color w:val="000000"/>
                <w:sz w:val="16"/>
                <w:szCs w:val="16"/>
                <w:lang w:eastAsia="hr-HR"/>
              </w:rPr>
              <w:t>0</w:t>
            </w:r>
          </w:p>
        </w:tc>
        <w:tc>
          <w:tcPr>
            <w:tcW w:w="1040" w:type="dxa"/>
            <w:tcBorders>
              <w:top w:val="nil"/>
              <w:left w:val="nil"/>
              <w:bottom w:val="single" w:sz="4" w:space="0" w:color="000080"/>
              <w:right w:val="single" w:sz="4" w:space="0" w:color="000080"/>
            </w:tcBorders>
            <w:shd w:val="clear" w:color="000000" w:fill="DCE6F1"/>
            <w:noWrap/>
            <w:vAlign w:val="center"/>
            <w:hideMark/>
          </w:tcPr>
          <w:p w:rsidR="004514E4" w:rsidRPr="006F7B85" w:rsidRDefault="004514E4" w:rsidP="004514E4">
            <w:pPr>
              <w:spacing w:after="0" w:line="240" w:lineRule="auto"/>
              <w:jc w:val="right"/>
              <w:rPr>
                <w:rFonts w:ascii="Arial" w:eastAsia="Times New Roman" w:hAnsi="Arial" w:cs="Arial"/>
                <w:color w:val="000000"/>
                <w:sz w:val="16"/>
                <w:szCs w:val="16"/>
                <w:lang w:eastAsia="hr-HR"/>
              </w:rPr>
            </w:pPr>
            <w:r w:rsidRPr="006F7B85">
              <w:rPr>
                <w:rFonts w:ascii="Arial" w:eastAsia="Times New Roman" w:hAnsi="Arial" w:cs="Arial"/>
                <w:color w:val="000000"/>
                <w:sz w:val="16"/>
                <w:szCs w:val="16"/>
                <w:lang w:eastAsia="hr-HR"/>
              </w:rPr>
              <w:t>27,861</w:t>
            </w:r>
          </w:p>
        </w:tc>
      </w:tr>
      <w:tr w:rsidR="004514E4" w:rsidRPr="006F7B85" w:rsidTr="00AB29BA">
        <w:trPr>
          <w:trHeight w:val="300"/>
          <w:jc w:val="center"/>
        </w:trPr>
        <w:tc>
          <w:tcPr>
            <w:tcW w:w="1360" w:type="dxa"/>
            <w:tcBorders>
              <w:top w:val="nil"/>
              <w:left w:val="single" w:sz="4" w:space="0" w:color="000080"/>
              <w:bottom w:val="single" w:sz="4" w:space="0" w:color="000080"/>
              <w:right w:val="single" w:sz="4" w:space="0" w:color="000080"/>
            </w:tcBorders>
            <w:shd w:val="clear" w:color="auto" w:fill="auto"/>
            <w:noWrap/>
            <w:vAlign w:val="center"/>
            <w:hideMark/>
          </w:tcPr>
          <w:p w:rsidR="004514E4" w:rsidRPr="006F7B85" w:rsidRDefault="004514E4" w:rsidP="006F7B85">
            <w:pPr>
              <w:spacing w:after="0" w:line="240" w:lineRule="auto"/>
              <w:ind w:firstLineChars="200" w:firstLine="320"/>
              <w:rPr>
                <w:rFonts w:ascii="Arial" w:eastAsia="Times New Roman" w:hAnsi="Arial" w:cs="Arial"/>
                <w:sz w:val="16"/>
                <w:szCs w:val="16"/>
                <w:lang w:eastAsia="hr-HR"/>
              </w:rPr>
            </w:pPr>
            <w:r w:rsidRPr="006F7B85">
              <w:rPr>
                <w:rFonts w:ascii="Arial" w:eastAsia="Times New Roman" w:hAnsi="Arial" w:cs="Arial"/>
                <w:sz w:val="16"/>
                <w:szCs w:val="16"/>
                <w:lang w:eastAsia="hr-HR"/>
              </w:rPr>
              <w:t>- 1+2+8</w:t>
            </w:r>
          </w:p>
        </w:tc>
        <w:tc>
          <w:tcPr>
            <w:tcW w:w="1140" w:type="dxa"/>
            <w:tcBorders>
              <w:top w:val="nil"/>
              <w:left w:val="nil"/>
              <w:bottom w:val="single" w:sz="4" w:space="0" w:color="000080"/>
              <w:right w:val="single" w:sz="4" w:space="0" w:color="000080"/>
            </w:tcBorders>
            <w:shd w:val="clear" w:color="auto" w:fill="auto"/>
            <w:noWrap/>
            <w:vAlign w:val="center"/>
            <w:hideMark/>
          </w:tcPr>
          <w:p w:rsidR="004514E4" w:rsidRPr="006F7B85" w:rsidRDefault="004514E4" w:rsidP="004514E4">
            <w:pPr>
              <w:spacing w:after="0" w:line="240" w:lineRule="auto"/>
              <w:jc w:val="right"/>
              <w:rPr>
                <w:rFonts w:ascii="Arial" w:eastAsia="Times New Roman" w:hAnsi="Arial" w:cs="Arial"/>
                <w:b/>
                <w:color w:val="000000"/>
                <w:sz w:val="16"/>
                <w:szCs w:val="16"/>
                <w:lang w:eastAsia="hr-HR"/>
              </w:rPr>
            </w:pPr>
            <w:r w:rsidRPr="006F7B85">
              <w:rPr>
                <w:rFonts w:ascii="Arial" w:eastAsia="Times New Roman" w:hAnsi="Arial" w:cs="Arial"/>
                <w:b/>
                <w:color w:val="000000"/>
                <w:sz w:val="16"/>
                <w:szCs w:val="16"/>
                <w:lang w:eastAsia="hr-HR"/>
              </w:rPr>
              <w:t>266,726</w:t>
            </w:r>
          </w:p>
        </w:tc>
        <w:tc>
          <w:tcPr>
            <w:tcW w:w="960" w:type="dxa"/>
            <w:tcBorders>
              <w:top w:val="nil"/>
              <w:left w:val="nil"/>
              <w:bottom w:val="single" w:sz="4" w:space="0" w:color="000080"/>
              <w:right w:val="single" w:sz="4" w:space="0" w:color="000080"/>
            </w:tcBorders>
            <w:shd w:val="clear" w:color="auto" w:fill="auto"/>
            <w:noWrap/>
            <w:vAlign w:val="center"/>
            <w:hideMark/>
          </w:tcPr>
          <w:p w:rsidR="004514E4" w:rsidRPr="006F7B85" w:rsidRDefault="004514E4" w:rsidP="004514E4">
            <w:pPr>
              <w:spacing w:after="0" w:line="240" w:lineRule="auto"/>
              <w:jc w:val="right"/>
              <w:rPr>
                <w:rFonts w:ascii="Arial" w:eastAsia="Times New Roman" w:hAnsi="Arial" w:cs="Arial"/>
                <w:color w:val="000000"/>
                <w:sz w:val="16"/>
                <w:szCs w:val="16"/>
                <w:lang w:eastAsia="hr-HR"/>
              </w:rPr>
            </w:pPr>
            <w:r w:rsidRPr="006F7B85">
              <w:rPr>
                <w:rFonts w:ascii="Arial" w:eastAsia="Times New Roman" w:hAnsi="Arial" w:cs="Arial"/>
                <w:color w:val="000000"/>
                <w:sz w:val="16"/>
                <w:szCs w:val="16"/>
                <w:lang w:eastAsia="hr-HR"/>
              </w:rPr>
              <w:t>19,31</w:t>
            </w:r>
            <w:r w:rsidR="004C4AD8" w:rsidRPr="006F7B85">
              <w:rPr>
                <w:rFonts w:ascii="Arial" w:eastAsia="Times New Roman" w:hAnsi="Arial" w:cs="Arial"/>
                <w:color w:val="000000"/>
                <w:sz w:val="16"/>
                <w:szCs w:val="16"/>
                <w:lang w:eastAsia="hr-HR"/>
              </w:rPr>
              <w:t>0</w:t>
            </w:r>
          </w:p>
        </w:tc>
        <w:tc>
          <w:tcPr>
            <w:tcW w:w="1020" w:type="dxa"/>
            <w:tcBorders>
              <w:top w:val="nil"/>
              <w:left w:val="nil"/>
              <w:bottom w:val="single" w:sz="4" w:space="0" w:color="000080"/>
              <w:right w:val="single" w:sz="4" w:space="0" w:color="000080"/>
            </w:tcBorders>
            <w:shd w:val="clear" w:color="auto" w:fill="auto"/>
            <w:noWrap/>
            <w:vAlign w:val="center"/>
            <w:hideMark/>
          </w:tcPr>
          <w:p w:rsidR="004514E4" w:rsidRPr="006F7B85" w:rsidRDefault="004514E4" w:rsidP="004514E4">
            <w:pPr>
              <w:spacing w:after="0" w:line="240" w:lineRule="auto"/>
              <w:jc w:val="right"/>
              <w:rPr>
                <w:rFonts w:ascii="Arial" w:eastAsia="Times New Roman" w:hAnsi="Arial" w:cs="Arial"/>
                <w:color w:val="000000"/>
                <w:sz w:val="16"/>
                <w:szCs w:val="16"/>
                <w:lang w:eastAsia="hr-HR"/>
              </w:rPr>
            </w:pPr>
            <w:r w:rsidRPr="006F7B85">
              <w:rPr>
                <w:rFonts w:ascii="Arial" w:eastAsia="Times New Roman" w:hAnsi="Arial" w:cs="Arial"/>
                <w:color w:val="000000"/>
                <w:sz w:val="16"/>
                <w:szCs w:val="16"/>
                <w:lang w:eastAsia="hr-HR"/>
              </w:rPr>
              <w:t>219,301</w:t>
            </w:r>
          </w:p>
        </w:tc>
        <w:tc>
          <w:tcPr>
            <w:tcW w:w="1100" w:type="dxa"/>
            <w:tcBorders>
              <w:top w:val="nil"/>
              <w:left w:val="nil"/>
              <w:bottom w:val="single" w:sz="4" w:space="0" w:color="000080"/>
              <w:right w:val="single" w:sz="4" w:space="0" w:color="000080"/>
            </w:tcBorders>
            <w:shd w:val="clear" w:color="auto" w:fill="auto"/>
            <w:noWrap/>
            <w:vAlign w:val="center"/>
            <w:hideMark/>
          </w:tcPr>
          <w:p w:rsidR="004514E4" w:rsidRPr="006F7B85" w:rsidRDefault="004514E4" w:rsidP="004514E4">
            <w:pPr>
              <w:spacing w:after="0" w:line="240" w:lineRule="auto"/>
              <w:jc w:val="right"/>
              <w:rPr>
                <w:rFonts w:ascii="Arial" w:eastAsia="Times New Roman" w:hAnsi="Arial" w:cs="Arial"/>
                <w:color w:val="000000"/>
                <w:sz w:val="16"/>
                <w:szCs w:val="16"/>
                <w:lang w:eastAsia="hr-HR"/>
              </w:rPr>
            </w:pPr>
            <w:r w:rsidRPr="006F7B85">
              <w:rPr>
                <w:rFonts w:ascii="Arial" w:eastAsia="Times New Roman" w:hAnsi="Arial" w:cs="Arial"/>
                <w:color w:val="000000"/>
                <w:sz w:val="16"/>
                <w:szCs w:val="16"/>
                <w:lang w:eastAsia="hr-HR"/>
              </w:rPr>
              <w:t>8,112</w:t>
            </w:r>
          </w:p>
        </w:tc>
        <w:tc>
          <w:tcPr>
            <w:tcW w:w="1040" w:type="dxa"/>
            <w:tcBorders>
              <w:top w:val="nil"/>
              <w:left w:val="nil"/>
              <w:bottom w:val="single" w:sz="4" w:space="0" w:color="000080"/>
              <w:right w:val="single" w:sz="4" w:space="0" w:color="000080"/>
            </w:tcBorders>
            <w:shd w:val="clear" w:color="auto" w:fill="auto"/>
            <w:noWrap/>
            <w:vAlign w:val="center"/>
            <w:hideMark/>
          </w:tcPr>
          <w:p w:rsidR="004514E4" w:rsidRPr="006F7B85" w:rsidRDefault="004514E4" w:rsidP="004514E4">
            <w:pPr>
              <w:spacing w:after="0" w:line="240" w:lineRule="auto"/>
              <w:jc w:val="right"/>
              <w:rPr>
                <w:rFonts w:ascii="Arial" w:eastAsia="Times New Roman" w:hAnsi="Arial" w:cs="Arial"/>
                <w:color w:val="000000"/>
                <w:sz w:val="16"/>
                <w:szCs w:val="16"/>
                <w:lang w:eastAsia="hr-HR"/>
              </w:rPr>
            </w:pPr>
            <w:r w:rsidRPr="006F7B85">
              <w:rPr>
                <w:rFonts w:ascii="Arial" w:eastAsia="Times New Roman" w:hAnsi="Arial" w:cs="Arial"/>
                <w:color w:val="000000"/>
                <w:sz w:val="16"/>
                <w:szCs w:val="16"/>
                <w:lang w:eastAsia="hr-HR"/>
              </w:rPr>
              <w:t>20,003</w:t>
            </w:r>
          </w:p>
        </w:tc>
      </w:tr>
      <w:tr w:rsidR="004514E4" w:rsidRPr="006F7B85" w:rsidTr="00AB29BA">
        <w:trPr>
          <w:trHeight w:val="300"/>
          <w:jc w:val="center"/>
        </w:trPr>
        <w:tc>
          <w:tcPr>
            <w:tcW w:w="1360" w:type="dxa"/>
            <w:tcBorders>
              <w:top w:val="nil"/>
              <w:left w:val="single" w:sz="4" w:space="0" w:color="000080"/>
              <w:bottom w:val="single" w:sz="4" w:space="0" w:color="000080"/>
              <w:right w:val="single" w:sz="4" w:space="0" w:color="000080"/>
            </w:tcBorders>
            <w:shd w:val="clear" w:color="auto" w:fill="auto"/>
            <w:noWrap/>
            <w:vAlign w:val="center"/>
            <w:hideMark/>
          </w:tcPr>
          <w:p w:rsidR="004514E4" w:rsidRPr="006F7B85" w:rsidRDefault="004514E4" w:rsidP="006F7B85">
            <w:pPr>
              <w:spacing w:after="0" w:line="240" w:lineRule="auto"/>
              <w:ind w:firstLineChars="200" w:firstLine="320"/>
              <w:rPr>
                <w:rFonts w:ascii="Arial" w:eastAsia="Times New Roman" w:hAnsi="Arial" w:cs="Arial"/>
                <w:sz w:val="16"/>
                <w:szCs w:val="16"/>
                <w:lang w:eastAsia="hr-HR"/>
              </w:rPr>
            </w:pPr>
            <w:r w:rsidRPr="006F7B85">
              <w:rPr>
                <w:rFonts w:ascii="Arial" w:eastAsia="Times New Roman" w:hAnsi="Arial" w:cs="Arial"/>
                <w:sz w:val="16"/>
                <w:szCs w:val="16"/>
                <w:lang w:eastAsia="hr-HR"/>
              </w:rPr>
              <w:t>- ostali izvori</w:t>
            </w:r>
          </w:p>
        </w:tc>
        <w:tc>
          <w:tcPr>
            <w:tcW w:w="1140" w:type="dxa"/>
            <w:tcBorders>
              <w:top w:val="nil"/>
              <w:left w:val="nil"/>
              <w:bottom w:val="single" w:sz="4" w:space="0" w:color="000080"/>
              <w:right w:val="single" w:sz="4" w:space="0" w:color="000080"/>
            </w:tcBorders>
            <w:shd w:val="clear" w:color="auto" w:fill="auto"/>
            <w:noWrap/>
            <w:vAlign w:val="center"/>
            <w:hideMark/>
          </w:tcPr>
          <w:p w:rsidR="004514E4" w:rsidRPr="006F7B85" w:rsidRDefault="004514E4" w:rsidP="004514E4">
            <w:pPr>
              <w:spacing w:after="0" w:line="240" w:lineRule="auto"/>
              <w:jc w:val="right"/>
              <w:rPr>
                <w:rFonts w:ascii="Arial" w:eastAsia="Times New Roman" w:hAnsi="Arial" w:cs="Arial"/>
                <w:b/>
                <w:color w:val="000000"/>
                <w:sz w:val="16"/>
                <w:szCs w:val="16"/>
                <w:lang w:eastAsia="hr-HR"/>
              </w:rPr>
            </w:pPr>
            <w:r w:rsidRPr="006F7B85">
              <w:rPr>
                <w:rFonts w:ascii="Arial" w:eastAsia="Times New Roman" w:hAnsi="Arial" w:cs="Arial"/>
                <w:b/>
                <w:color w:val="000000"/>
                <w:sz w:val="16"/>
                <w:szCs w:val="16"/>
                <w:lang w:eastAsia="hr-HR"/>
              </w:rPr>
              <w:t>48,734</w:t>
            </w:r>
          </w:p>
        </w:tc>
        <w:tc>
          <w:tcPr>
            <w:tcW w:w="960" w:type="dxa"/>
            <w:tcBorders>
              <w:top w:val="nil"/>
              <w:left w:val="nil"/>
              <w:bottom w:val="single" w:sz="4" w:space="0" w:color="000080"/>
              <w:right w:val="single" w:sz="4" w:space="0" w:color="000080"/>
            </w:tcBorders>
            <w:shd w:val="clear" w:color="auto" w:fill="auto"/>
            <w:noWrap/>
            <w:vAlign w:val="center"/>
            <w:hideMark/>
          </w:tcPr>
          <w:p w:rsidR="004514E4" w:rsidRPr="006F7B85" w:rsidRDefault="004514E4" w:rsidP="004514E4">
            <w:pPr>
              <w:spacing w:after="0" w:line="240" w:lineRule="auto"/>
              <w:jc w:val="right"/>
              <w:rPr>
                <w:rFonts w:ascii="Arial" w:eastAsia="Times New Roman" w:hAnsi="Arial" w:cs="Arial"/>
                <w:color w:val="000000"/>
                <w:sz w:val="16"/>
                <w:szCs w:val="16"/>
                <w:lang w:eastAsia="hr-HR"/>
              </w:rPr>
            </w:pPr>
            <w:r w:rsidRPr="006F7B85">
              <w:rPr>
                <w:rFonts w:ascii="Arial" w:eastAsia="Times New Roman" w:hAnsi="Arial" w:cs="Arial"/>
                <w:color w:val="000000"/>
                <w:sz w:val="16"/>
                <w:szCs w:val="16"/>
                <w:lang w:eastAsia="hr-HR"/>
              </w:rPr>
              <w:t>0,549</w:t>
            </w:r>
          </w:p>
        </w:tc>
        <w:tc>
          <w:tcPr>
            <w:tcW w:w="1020" w:type="dxa"/>
            <w:tcBorders>
              <w:top w:val="nil"/>
              <w:left w:val="nil"/>
              <w:bottom w:val="single" w:sz="4" w:space="0" w:color="000080"/>
              <w:right w:val="single" w:sz="4" w:space="0" w:color="000080"/>
            </w:tcBorders>
            <w:shd w:val="clear" w:color="auto" w:fill="auto"/>
            <w:noWrap/>
            <w:vAlign w:val="center"/>
            <w:hideMark/>
          </w:tcPr>
          <w:p w:rsidR="004514E4" w:rsidRPr="006F7B85" w:rsidRDefault="004514E4" w:rsidP="004514E4">
            <w:pPr>
              <w:spacing w:after="0" w:line="240" w:lineRule="auto"/>
              <w:jc w:val="right"/>
              <w:rPr>
                <w:rFonts w:ascii="Arial" w:eastAsia="Times New Roman" w:hAnsi="Arial" w:cs="Arial"/>
                <w:color w:val="000000"/>
                <w:sz w:val="16"/>
                <w:szCs w:val="16"/>
                <w:lang w:eastAsia="hr-HR"/>
              </w:rPr>
            </w:pPr>
            <w:r w:rsidRPr="006F7B85">
              <w:rPr>
                <w:rFonts w:ascii="Arial" w:eastAsia="Times New Roman" w:hAnsi="Arial" w:cs="Arial"/>
                <w:color w:val="000000"/>
                <w:sz w:val="16"/>
                <w:szCs w:val="16"/>
                <w:lang w:eastAsia="hr-HR"/>
              </w:rPr>
              <w:t>39,719</w:t>
            </w:r>
          </w:p>
        </w:tc>
        <w:tc>
          <w:tcPr>
            <w:tcW w:w="1100" w:type="dxa"/>
            <w:tcBorders>
              <w:top w:val="nil"/>
              <w:left w:val="nil"/>
              <w:bottom w:val="single" w:sz="4" w:space="0" w:color="000080"/>
              <w:right w:val="single" w:sz="4" w:space="0" w:color="000080"/>
            </w:tcBorders>
            <w:shd w:val="clear" w:color="auto" w:fill="auto"/>
            <w:noWrap/>
            <w:vAlign w:val="center"/>
            <w:hideMark/>
          </w:tcPr>
          <w:p w:rsidR="004514E4" w:rsidRPr="006F7B85" w:rsidRDefault="004514E4" w:rsidP="004514E4">
            <w:pPr>
              <w:spacing w:after="0" w:line="240" w:lineRule="auto"/>
              <w:jc w:val="right"/>
              <w:rPr>
                <w:rFonts w:ascii="Arial" w:eastAsia="Times New Roman" w:hAnsi="Arial" w:cs="Arial"/>
                <w:color w:val="000000"/>
                <w:sz w:val="16"/>
                <w:szCs w:val="16"/>
                <w:lang w:eastAsia="hr-HR"/>
              </w:rPr>
            </w:pPr>
            <w:r w:rsidRPr="006F7B85">
              <w:rPr>
                <w:rFonts w:ascii="Arial" w:eastAsia="Times New Roman" w:hAnsi="Arial" w:cs="Arial"/>
                <w:color w:val="000000"/>
                <w:sz w:val="16"/>
                <w:szCs w:val="16"/>
                <w:lang w:eastAsia="hr-HR"/>
              </w:rPr>
              <w:t>0,608</w:t>
            </w:r>
          </w:p>
        </w:tc>
        <w:tc>
          <w:tcPr>
            <w:tcW w:w="1040" w:type="dxa"/>
            <w:tcBorders>
              <w:top w:val="nil"/>
              <w:left w:val="nil"/>
              <w:bottom w:val="single" w:sz="4" w:space="0" w:color="000080"/>
              <w:right w:val="single" w:sz="4" w:space="0" w:color="000080"/>
            </w:tcBorders>
            <w:shd w:val="clear" w:color="auto" w:fill="auto"/>
            <w:noWrap/>
            <w:vAlign w:val="center"/>
            <w:hideMark/>
          </w:tcPr>
          <w:p w:rsidR="004514E4" w:rsidRPr="006F7B85" w:rsidRDefault="004514E4" w:rsidP="004514E4">
            <w:pPr>
              <w:spacing w:after="0" w:line="240" w:lineRule="auto"/>
              <w:jc w:val="right"/>
              <w:rPr>
                <w:rFonts w:ascii="Arial" w:eastAsia="Times New Roman" w:hAnsi="Arial" w:cs="Arial"/>
                <w:color w:val="000000"/>
                <w:sz w:val="16"/>
                <w:szCs w:val="16"/>
                <w:lang w:eastAsia="hr-HR"/>
              </w:rPr>
            </w:pPr>
            <w:r w:rsidRPr="006F7B85">
              <w:rPr>
                <w:rFonts w:ascii="Arial" w:eastAsia="Times New Roman" w:hAnsi="Arial" w:cs="Arial"/>
                <w:color w:val="000000"/>
                <w:sz w:val="16"/>
                <w:szCs w:val="16"/>
                <w:lang w:eastAsia="hr-HR"/>
              </w:rPr>
              <w:t>7,858</w:t>
            </w:r>
          </w:p>
        </w:tc>
      </w:tr>
    </w:tbl>
    <w:p w:rsidR="004514E4" w:rsidRDefault="004514E4" w:rsidP="004A0F0B">
      <w:pPr>
        <w:spacing w:after="0" w:line="240" w:lineRule="auto"/>
        <w:rPr>
          <w:rFonts w:ascii="Times New Roman" w:hAnsi="Times New Roman" w:cs="Times New Roman"/>
        </w:rPr>
      </w:pPr>
    </w:p>
    <w:p w:rsidR="003829FF" w:rsidRPr="00FA7F54" w:rsidRDefault="003829FF" w:rsidP="003829FF">
      <w:pPr>
        <w:shd w:val="clear" w:color="auto" w:fill="FFFFFF"/>
        <w:spacing w:after="0" w:line="240" w:lineRule="auto"/>
        <w:ind w:firstLine="360"/>
        <w:jc w:val="both"/>
        <w:rPr>
          <w:rFonts w:ascii="Times New Roman" w:hAnsi="Times New Roman" w:cs="Times New Roman"/>
          <w:u w:val="single"/>
        </w:rPr>
      </w:pPr>
      <w:r w:rsidRPr="00FA7F54">
        <w:rPr>
          <w:rFonts w:ascii="Times New Roman" w:hAnsi="Times New Roman" w:cs="Times New Roman"/>
          <w:u w:val="single"/>
        </w:rPr>
        <w:t>Mjere za smanjenje odnosno optimizaciju rashoda:</w:t>
      </w:r>
    </w:p>
    <w:p w:rsidR="003829FF" w:rsidRPr="00A92F85" w:rsidRDefault="00A92F85" w:rsidP="00A92F85">
      <w:pPr>
        <w:pStyle w:val="Odlomakpopisa"/>
        <w:numPr>
          <w:ilvl w:val="0"/>
          <w:numId w:val="28"/>
        </w:numPr>
        <w:spacing w:after="0" w:line="240" w:lineRule="auto"/>
        <w:jc w:val="both"/>
        <w:rPr>
          <w:rFonts w:ascii="Times New Roman" w:hAnsi="Times New Roman" w:cs="Times New Roman"/>
        </w:rPr>
      </w:pPr>
      <w:r w:rsidRPr="00FA7F54">
        <w:rPr>
          <w:rFonts w:ascii="Times New Roman" w:hAnsi="Times New Roman" w:cs="Times New Roman"/>
        </w:rPr>
        <w:t>U radnoj skupini prezentirati primjere</w:t>
      </w:r>
      <w:r>
        <w:rPr>
          <w:rFonts w:ascii="Times New Roman" w:hAnsi="Times New Roman" w:cs="Times New Roman"/>
        </w:rPr>
        <w:t xml:space="preserve"> dobre prakse</w:t>
      </w:r>
      <w:r w:rsidRPr="00FA7F54">
        <w:rPr>
          <w:rFonts w:ascii="Times New Roman" w:hAnsi="Times New Roman" w:cs="Times New Roman"/>
        </w:rPr>
        <w:t xml:space="preserve"> upravljanja troškovima </w:t>
      </w:r>
      <w:r>
        <w:rPr>
          <w:rFonts w:ascii="Times New Roman" w:hAnsi="Times New Roman" w:cs="Times New Roman"/>
        </w:rPr>
        <w:t>zdravstvenih i veterinarskih usluga</w:t>
      </w:r>
      <w:r w:rsidRPr="00FA7F54">
        <w:rPr>
          <w:rFonts w:ascii="Times New Roman" w:hAnsi="Times New Roman" w:cs="Times New Roman"/>
        </w:rPr>
        <w:t>.</w:t>
      </w:r>
    </w:p>
    <w:p w:rsidR="00D538A5" w:rsidRPr="00FA7F54" w:rsidRDefault="00D538A5" w:rsidP="00403C7B">
      <w:pPr>
        <w:pStyle w:val="Naslov2"/>
        <w:rPr>
          <w:rFonts w:ascii="Times New Roman" w:hAnsi="Times New Roman" w:cs="Times New Roman"/>
          <w:color w:val="auto"/>
          <w:sz w:val="22"/>
          <w:szCs w:val="22"/>
        </w:rPr>
      </w:pPr>
      <w:bookmarkStart w:id="93" w:name="_Toc434411194"/>
      <w:bookmarkStart w:id="94" w:name="_Toc436402337"/>
      <w:r w:rsidRPr="00FA7F54">
        <w:rPr>
          <w:rFonts w:ascii="Times New Roman" w:hAnsi="Times New Roman" w:cs="Times New Roman"/>
          <w:color w:val="auto"/>
          <w:sz w:val="22"/>
          <w:szCs w:val="22"/>
        </w:rPr>
        <w:t>INTELEKTUALNE USLUGE</w:t>
      </w:r>
      <w:r w:rsidR="00403C7B" w:rsidRPr="00FA7F54">
        <w:rPr>
          <w:rFonts w:ascii="Times New Roman" w:hAnsi="Times New Roman" w:cs="Times New Roman"/>
          <w:color w:val="auto"/>
          <w:sz w:val="22"/>
          <w:szCs w:val="22"/>
        </w:rPr>
        <w:t xml:space="preserve"> (3237)</w:t>
      </w:r>
      <w:bookmarkEnd w:id="93"/>
      <w:bookmarkEnd w:id="94"/>
    </w:p>
    <w:p w:rsidR="00403C7B" w:rsidRPr="00FA7F54" w:rsidRDefault="00403C7B" w:rsidP="00403C7B">
      <w:pPr>
        <w:spacing w:line="240" w:lineRule="auto"/>
        <w:jc w:val="both"/>
        <w:rPr>
          <w:rFonts w:ascii="Times New Roman" w:hAnsi="Times New Roman" w:cs="Times New Roman"/>
        </w:rPr>
      </w:pPr>
      <w:r w:rsidRPr="00FA7F54">
        <w:rPr>
          <w:rFonts w:ascii="Times New Roman" w:hAnsi="Times New Roman" w:cs="Times New Roman"/>
        </w:rPr>
        <w:t>Prema iskazanim podacima u financijskim izvještajima rashodi za intelektualne usluge u 2013. godini iznosili su 1,2 ml</w:t>
      </w:r>
      <w:r w:rsidR="00AB29BA">
        <w:rPr>
          <w:rFonts w:ascii="Times New Roman" w:hAnsi="Times New Roman" w:cs="Times New Roman"/>
        </w:rPr>
        <w:t>rd</w:t>
      </w:r>
      <w:r w:rsidRPr="00FA7F54">
        <w:rPr>
          <w:rFonts w:ascii="Times New Roman" w:hAnsi="Times New Roman" w:cs="Times New Roman"/>
        </w:rPr>
        <w:t>. kuna, a u 2014. godini 1</w:t>
      </w:r>
      <w:r w:rsidR="00AB29BA">
        <w:rPr>
          <w:rFonts w:ascii="Times New Roman" w:hAnsi="Times New Roman" w:cs="Times New Roman"/>
        </w:rPr>
        <w:t>,</w:t>
      </w:r>
      <w:proofErr w:type="spellStart"/>
      <w:r w:rsidRPr="00FA7F54">
        <w:rPr>
          <w:rFonts w:ascii="Times New Roman" w:hAnsi="Times New Roman" w:cs="Times New Roman"/>
        </w:rPr>
        <w:t>1</w:t>
      </w:r>
      <w:proofErr w:type="spellEnd"/>
      <w:r w:rsidRPr="00FA7F54">
        <w:rPr>
          <w:rFonts w:ascii="Times New Roman" w:hAnsi="Times New Roman" w:cs="Times New Roman"/>
        </w:rPr>
        <w:t xml:space="preserve"> ml</w:t>
      </w:r>
      <w:r w:rsidR="00AB29BA">
        <w:rPr>
          <w:rFonts w:ascii="Times New Roman" w:hAnsi="Times New Roman" w:cs="Times New Roman"/>
        </w:rPr>
        <w:t>rd</w:t>
      </w:r>
      <w:r w:rsidRPr="00FA7F54">
        <w:rPr>
          <w:rFonts w:ascii="Times New Roman" w:hAnsi="Times New Roman" w:cs="Times New Roman"/>
        </w:rPr>
        <w:t>. kuna. U državnom proračunu za 2015. godinu planirano je 1</w:t>
      </w:r>
      <w:r w:rsidR="00AB29BA">
        <w:rPr>
          <w:rFonts w:ascii="Times New Roman" w:hAnsi="Times New Roman" w:cs="Times New Roman"/>
        </w:rPr>
        <w:t>,</w:t>
      </w:r>
      <w:r w:rsidRPr="00FA7F54">
        <w:rPr>
          <w:rFonts w:ascii="Times New Roman" w:hAnsi="Times New Roman" w:cs="Times New Roman"/>
        </w:rPr>
        <w:t>3 ml</w:t>
      </w:r>
      <w:r w:rsidR="00AB29BA">
        <w:rPr>
          <w:rFonts w:ascii="Times New Roman" w:hAnsi="Times New Roman" w:cs="Times New Roman"/>
        </w:rPr>
        <w:t>rd</w:t>
      </w:r>
      <w:r w:rsidRPr="00FA7F54">
        <w:rPr>
          <w:rFonts w:ascii="Times New Roman" w:hAnsi="Times New Roman" w:cs="Times New Roman"/>
        </w:rPr>
        <w:t xml:space="preserve">. kuna navedenih rashoda od čega se 593,7 mil. </w:t>
      </w:r>
      <w:r w:rsidR="00AB29BA">
        <w:rPr>
          <w:rFonts w:ascii="Times New Roman" w:hAnsi="Times New Roman" w:cs="Times New Roman"/>
        </w:rPr>
        <w:t xml:space="preserve">kuna </w:t>
      </w:r>
      <w:r w:rsidRPr="00FA7F54">
        <w:rPr>
          <w:rFonts w:ascii="Times New Roman" w:hAnsi="Times New Roman" w:cs="Times New Roman"/>
        </w:rPr>
        <w:t>financira iz izvora u limitu.</w:t>
      </w:r>
    </w:p>
    <w:p w:rsidR="00E461AE" w:rsidRPr="00FA7F54" w:rsidRDefault="00403C7B" w:rsidP="00B35A17">
      <w:pPr>
        <w:spacing w:line="240" w:lineRule="auto"/>
        <w:jc w:val="both"/>
        <w:rPr>
          <w:rFonts w:ascii="Times New Roman" w:hAnsi="Times New Roman" w:cs="Times New Roman"/>
        </w:rPr>
      </w:pPr>
      <w:r w:rsidRPr="00FA7F54">
        <w:rPr>
          <w:rFonts w:ascii="Times New Roman" w:hAnsi="Times New Roman" w:cs="Times New Roman"/>
        </w:rPr>
        <w:t>Najveći dio rashoda odnos</w:t>
      </w:r>
      <w:r w:rsidR="00D96D58" w:rsidRPr="00FA7F54">
        <w:rPr>
          <w:rFonts w:ascii="Times New Roman" w:hAnsi="Times New Roman" w:cs="Times New Roman"/>
        </w:rPr>
        <w:t xml:space="preserve">i se na tijela izvršne vlasti, visoko obrazovanje, tijela sudbene vlasti, izvanproračunske korisnike (70 mil. </w:t>
      </w:r>
      <w:r w:rsidR="00AB29BA">
        <w:rPr>
          <w:rFonts w:ascii="Times New Roman" w:hAnsi="Times New Roman" w:cs="Times New Roman"/>
        </w:rPr>
        <w:t xml:space="preserve">kuna </w:t>
      </w:r>
      <w:r w:rsidR="00D96D58" w:rsidRPr="00FA7F54">
        <w:rPr>
          <w:rFonts w:ascii="Times New Roman" w:hAnsi="Times New Roman" w:cs="Times New Roman"/>
        </w:rPr>
        <w:t xml:space="preserve">Hrvatske vode) i agencije (16 mil. </w:t>
      </w:r>
      <w:r w:rsidR="00AB29BA">
        <w:rPr>
          <w:rFonts w:ascii="Times New Roman" w:hAnsi="Times New Roman" w:cs="Times New Roman"/>
        </w:rPr>
        <w:t xml:space="preserve">kuna </w:t>
      </w:r>
      <w:r w:rsidR="00D96D58" w:rsidRPr="00FA7F54">
        <w:rPr>
          <w:rFonts w:ascii="Times New Roman" w:hAnsi="Times New Roman" w:cs="Times New Roman"/>
        </w:rPr>
        <w:t>NCVVO, 14 mil.</w:t>
      </w:r>
      <w:r w:rsidR="00AB29BA">
        <w:rPr>
          <w:rFonts w:ascii="Times New Roman" w:hAnsi="Times New Roman" w:cs="Times New Roman"/>
        </w:rPr>
        <w:t xml:space="preserve"> kuna</w:t>
      </w:r>
      <w:r w:rsidR="00D96D58" w:rsidRPr="00FA7F54">
        <w:rPr>
          <w:rFonts w:ascii="Times New Roman" w:hAnsi="Times New Roman" w:cs="Times New Roman"/>
        </w:rPr>
        <w:t xml:space="preserve"> HNK)</w:t>
      </w:r>
      <w:r w:rsidRPr="00FA7F54">
        <w:rPr>
          <w:rFonts w:ascii="Times New Roman" w:hAnsi="Times New Roman" w:cs="Times New Roman"/>
        </w:rPr>
        <w:t>.</w:t>
      </w:r>
    </w:p>
    <w:p w:rsidR="009835A2" w:rsidRPr="00AB29BA" w:rsidRDefault="009835A2" w:rsidP="006B7B79">
      <w:pPr>
        <w:pStyle w:val="Opisslike"/>
        <w:spacing w:after="0"/>
        <w:jc w:val="both"/>
        <w:rPr>
          <w:rFonts w:ascii="Times New Roman" w:hAnsi="Times New Roman" w:cs="Times New Roman"/>
          <w:sz w:val="20"/>
          <w:szCs w:val="20"/>
        </w:rPr>
      </w:pPr>
      <w:bookmarkStart w:id="95" w:name="_Toc436402291"/>
      <w:r w:rsidRPr="006B7B79">
        <w:rPr>
          <w:rFonts w:ascii="Times New Roman" w:hAnsi="Times New Roman" w:cs="Times New Roman"/>
          <w:sz w:val="20"/>
          <w:szCs w:val="20"/>
        </w:rPr>
        <w:lastRenderedPageBreak/>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44</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A61AF5" w:rsidRPr="006B7B79">
        <w:rPr>
          <w:rFonts w:ascii="Times New Roman" w:hAnsi="Times New Roman" w:cs="Times New Roman"/>
          <w:sz w:val="20"/>
          <w:szCs w:val="20"/>
        </w:rPr>
        <w:t xml:space="preserve"> Intelektualne usluge prema podacima iskazanim u financijskim izvještajima proračunskih i izvanproračunskih korisnika za 2013. i 2014. godinu te planu Državnog proračuna za 2015. godinu</w:t>
      </w:r>
      <w:bookmarkEnd w:id="95"/>
    </w:p>
    <w:p w:rsidR="00E461AE" w:rsidRPr="00FA7F54" w:rsidRDefault="007E2CB9" w:rsidP="006B7B79">
      <w:pPr>
        <w:spacing w:line="240" w:lineRule="auto"/>
        <w:jc w:val="both"/>
        <w:rPr>
          <w:rFonts w:ascii="Times New Roman" w:hAnsi="Times New Roman" w:cs="Times New Roman"/>
        </w:rPr>
      </w:pPr>
      <w:r w:rsidRPr="007E2CB9">
        <w:rPr>
          <w:noProof/>
          <w:lang w:eastAsia="hr-HR"/>
        </w:rPr>
        <w:drawing>
          <wp:inline distT="0" distB="0" distL="0" distR="0" wp14:anchorId="06F37D85" wp14:editId="462310A3">
            <wp:extent cx="5760720" cy="3567930"/>
            <wp:effectExtent l="0" t="0" r="0" b="0"/>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3567930"/>
                    </a:xfrm>
                    <a:prstGeom prst="rect">
                      <a:avLst/>
                    </a:prstGeom>
                    <a:noFill/>
                    <a:ln>
                      <a:noFill/>
                    </a:ln>
                  </pic:spPr>
                </pic:pic>
              </a:graphicData>
            </a:graphic>
          </wp:inline>
        </w:drawing>
      </w:r>
    </w:p>
    <w:p w:rsidR="00EB66E2" w:rsidRPr="00FA7F54" w:rsidRDefault="00C42554" w:rsidP="00C107BF">
      <w:pPr>
        <w:spacing w:line="240" w:lineRule="auto"/>
        <w:jc w:val="both"/>
        <w:rPr>
          <w:rFonts w:ascii="Times New Roman" w:hAnsi="Times New Roman" w:cs="Times New Roman"/>
        </w:rPr>
      </w:pPr>
      <w:r w:rsidRPr="00FA7F54">
        <w:rPr>
          <w:rFonts w:ascii="Times New Roman" w:hAnsi="Times New Roman" w:cs="Times New Roman"/>
        </w:rPr>
        <w:t>Navedeni rashodi uključuju autorske honorare, ugovore o djelu, usluge odvjetnika, geodetsko-katastarske usluge, usluge vještačenja, usluge agencija, studentskog servisa, znanstvenoistraživačke usluge i ostale intelektualne usluge.</w:t>
      </w:r>
      <w:r w:rsidR="00771A76" w:rsidRPr="00FA7F54">
        <w:rPr>
          <w:rFonts w:ascii="Times New Roman" w:hAnsi="Times New Roman" w:cs="Times New Roman"/>
        </w:rPr>
        <w:t xml:space="preserve"> Najveći udio čine ostale</w:t>
      </w:r>
      <w:r w:rsidR="00536E9B" w:rsidRPr="00FA7F54">
        <w:rPr>
          <w:rFonts w:ascii="Times New Roman" w:hAnsi="Times New Roman" w:cs="Times New Roman"/>
        </w:rPr>
        <w:t xml:space="preserve"> </w:t>
      </w:r>
      <w:r w:rsidR="00771A76" w:rsidRPr="00FA7F54">
        <w:rPr>
          <w:rFonts w:ascii="Times New Roman" w:hAnsi="Times New Roman" w:cs="Times New Roman"/>
        </w:rPr>
        <w:t xml:space="preserve">intelektualne usluge i </w:t>
      </w:r>
      <w:r w:rsidR="00843635" w:rsidRPr="00FA7F54">
        <w:rPr>
          <w:rFonts w:ascii="Times New Roman" w:hAnsi="Times New Roman" w:cs="Times New Roman"/>
        </w:rPr>
        <w:t xml:space="preserve">usluge </w:t>
      </w:r>
      <w:r w:rsidR="00771A76" w:rsidRPr="00FA7F54">
        <w:rPr>
          <w:rFonts w:ascii="Times New Roman" w:hAnsi="Times New Roman" w:cs="Times New Roman"/>
        </w:rPr>
        <w:t>odvjetnika i pravnog savjetovanja</w:t>
      </w:r>
      <w:r w:rsidR="00536E9B" w:rsidRPr="00FA7F54">
        <w:rPr>
          <w:rFonts w:ascii="Times New Roman" w:hAnsi="Times New Roman" w:cs="Times New Roman"/>
        </w:rPr>
        <w:t xml:space="preserve"> (32 mil. </w:t>
      </w:r>
      <w:r w:rsidR="00AB29BA">
        <w:rPr>
          <w:rFonts w:ascii="Times New Roman" w:hAnsi="Times New Roman" w:cs="Times New Roman"/>
        </w:rPr>
        <w:t xml:space="preserve">kuna </w:t>
      </w:r>
      <w:proofErr w:type="spellStart"/>
      <w:r w:rsidR="00536E9B" w:rsidRPr="00FA7F54">
        <w:rPr>
          <w:rFonts w:ascii="Times New Roman" w:hAnsi="Times New Roman" w:cs="Times New Roman"/>
        </w:rPr>
        <w:t>Min.financija</w:t>
      </w:r>
      <w:proofErr w:type="spellEnd"/>
      <w:r w:rsidR="00536E9B" w:rsidRPr="00FA7F54">
        <w:rPr>
          <w:rFonts w:ascii="Times New Roman" w:hAnsi="Times New Roman" w:cs="Times New Roman"/>
        </w:rPr>
        <w:t xml:space="preserve">, 105 mil. </w:t>
      </w:r>
      <w:r w:rsidR="00AB29BA">
        <w:rPr>
          <w:rFonts w:ascii="Times New Roman" w:hAnsi="Times New Roman" w:cs="Times New Roman"/>
        </w:rPr>
        <w:t xml:space="preserve">kuna </w:t>
      </w:r>
      <w:proofErr w:type="spellStart"/>
      <w:r w:rsidR="00536E9B" w:rsidRPr="00FA7F54">
        <w:rPr>
          <w:rFonts w:ascii="Times New Roman" w:hAnsi="Times New Roman" w:cs="Times New Roman"/>
        </w:rPr>
        <w:t>Minist.pravosuđa</w:t>
      </w:r>
      <w:proofErr w:type="spellEnd"/>
      <w:r w:rsidR="00536E9B" w:rsidRPr="00FA7F54">
        <w:rPr>
          <w:rFonts w:ascii="Times New Roman" w:hAnsi="Times New Roman" w:cs="Times New Roman"/>
        </w:rPr>
        <w:t xml:space="preserve">) </w:t>
      </w:r>
      <w:r w:rsidR="007D5589" w:rsidRPr="00FA7F54">
        <w:rPr>
          <w:rFonts w:ascii="Times New Roman" w:hAnsi="Times New Roman" w:cs="Times New Roman"/>
        </w:rPr>
        <w:t xml:space="preserve"> te ugovori o djelu</w:t>
      </w:r>
      <w:r w:rsidR="00771A76" w:rsidRPr="00FA7F54">
        <w:rPr>
          <w:rFonts w:ascii="Times New Roman" w:hAnsi="Times New Roman" w:cs="Times New Roman"/>
        </w:rPr>
        <w:t>.</w:t>
      </w:r>
    </w:p>
    <w:p w:rsidR="009835A2" w:rsidRPr="00AB29BA" w:rsidRDefault="009835A2" w:rsidP="006B7B79">
      <w:pPr>
        <w:pStyle w:val="Opisslike"/>
        <w:spacing w:after="0"/>
        <w:jc w:val="both"/>
        <w:rPr>
          <w:rFonts w:ascii="Times New Roman" w:hAnsi="Times New Roman" w:cs="Times New Roman"/>
          <w:sz w:val="20"/>
          <w:szCs w:val="20"/>
        </w:rPr>
      </w:pPr>
      <w:bookmarkStart w:id="96" w:name="_Toc436402292"/>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45</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576438" w:rsidRPr="006B7B79">
        <w:rPr>
          <w:rFonts w:ascii="Times New Roman" w:hAnsi="Times New Roman" w:cs="Times New Roman"/>
          <w:sz w:val="20"/>
          <w:szCs w:val="20"/>
        </w:rPr>
        <w:t xml:space="preserve"> Intelektualne usluge prema podacima iskazanim u državnom proračunu – izvršenje za 2014. (u mil.)</w:t>
      </w:r>
      <w:bookmarkEnd w:id="96"/>
    </w:p>
    <w:tbl>
      <w:tblPr>
        <w:tblW w:w="9752" w:type="dxa"/>
        <w:tblInd w:w="93" w:type="dxa"/>
        <w:tblLayout w:type="fixed"/>
        <w:tblLook w:val="04A0" w:firstRow="1" w:lastRow="0" w:firstColumn="1" w:lastColumn="0" w:noHBand="0" w:noVBand="1"/>
      </w:tblPr>
      <w:tblGrid>
        <w:gridCol w:w="1008"/>
        <w:gridCol w:w="850"/>
        <w:gridCol w:w="804"/>
        <w:gridCol w:w="795"/>
        <w:gridCol w:w="953"/>
        <w:gridCol w:w="807"/>
        <w:gridCol w:w="894"/>
        <w:gridCol w:w="799"/>
        <w:gridCol w:w="1043"/>
        <w:gridCol w:w="876"/>
        <w:gridCol w:w="923"/>
      </w:tblGrid>
      <w:tr w:rsidR="00612A89" w:rsidRPr="006B0E65" w:rsidTr="00612A89">
        <w:trPr>
          <w:trHeight w:val="1110"/>
        </w:trPr>
        <w:tc>
          <w:tcPr>
            <w:tcW w:w="1008"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612A89" w:rsidRPr="006B0E65" w:rsidRDefault="00612A89" w:rsidP="00AB29BA">
            <w:pPr>
              <w:spacing w:after="0" w:line="240" w:lineRule="auto"/>
              <w:jc w:val="center"/>
              <w:rPr>
                <w:rFonts w:ascii="Arial" w:eastAsia="Times New Roman" w:hAnsi="Arial" w:cs="Arial"/>
                <w:b/>
                <w:bCs/>
                <w:sz w:val="16"/>
                <w:szCs w:val="16"/>
                <w:lang w:eastAsia="hr-HR"/>
              </w:rPr>
            </w:pPr>
            <w:r w:rsidRPr="006B0E65">
              <w:rPr>
                <w:rFonts w:ascii="Arial" w:eastAsia="Times New Roman" w:hAnsi="Arial" w:cs="Arial"/>
                <w:b/>
                <w:bCs/>
                <w:sz w:val="16"/>
                <w:szCs w:val="16"/>
                <w:lang w:eastAsia="hr-HR"/>
              </w:rPr>
              <w:t>Izvršenje 2014.</w:t>
            </w:r>
          </w:p>
        </w:tc>
        <w:tc>
          <w:tcPr>
            <w:tcW w:w="850" w:type="dxa"/>
            <w:tcBorders>
              <w:top w:val="single" w:sz="4" w:space="0" w:color="000080"/>
              <w:left w:val="nil"/>
              <w:bottom w:val="single" w:sz="4" w:space="0" w:color="000080"/>
              <w:right w:val="single" w:sz="4" w:space="0" w:color="000080"/>
            </w:tcBorders>
            <w:shd w:val="clear" w:color="000000" w:fill="DCE6F1"/>
            <w:vAlign w:val="center"/>
            <w:hideMark/>
          </w:tcPr>
          <w:p w:rsidR="00612A89" w:rsidRPr="006B0E65" w:rsidRDefault="00612A89" w:rsidP="00AB29BA">
            <w:pPr>
              <w:spacing w:after="0" w:line="240" w:lineRule="auto"/>
              <w:jc w:val="center"/>
              <w:rPr>
                <w:rFonts w:ascii="Arial" w:eastAsia="Times New Roman" w:hAnsi="Arial" w:cs="Arial"/>
                <w:b/>
                <w:bCs/>
                <w:color w:val="000000"/>
                <w:sz w:val="16"/>
                <w:szCs w:val="16"/>
                <w:lang w:eastAsia="hr-HR"/>
              </w:rPr>
            </w:pPr>
            <w:r w:rsidRPr="006B0E65">
              <w:rPr>
                <w:rFonts w:ascii="Arial" w:eastAsia="Times New Roman" w:hAnsi="Arial" w:cs="Arial"/>
                <w:b/>
                <w:bCs/>
                <w:color w:val="000000"/>
                <w:sz w:val="16"/>
                <w:szCs w:val="16"/>
                <w:lang w:eastAsia="hr-HR"/>
              </w:rPr>
              <w:t>Intelektualne i osobne usluge</w:t>
            </w:r>
          </w:p>
        </w:tc>
        <w:tc>
          <w:tcPr>
            <w:tcW w:w="804" w:type="dxa"/>
            <w:tcBorders>
              <w:top w:val="single" w:sz="4" w:space="0" w:color="000080"/>
              <w:left w:val="nil"/>
              <w:bottom w:val="single" w:sz="4" w:space="0" w:color="000080"/>
              <w:right w:val="single" w:sz="4" w:space="0" w:color="000080"/>
            </w:tcBorders>
            <w:shd w:val="clear" w:color="000000" w:fill="DCE6F1"/>
            <w:vAlign w:val="center"/>
            <w:hideMark/>
          </w:tcPr>
          <w:p w:rsidR="00612A89" w:rsidRPr="006B0E65" w:rsidRDefault="00612A89" w:rsidP="00AB29BA">
            <w:pPr>
              <w:spacing w:after="0" w:line="240" w:lineRule="auto"/>
              <w:jc w:val="center"/>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Autorski honorari</w:t>
            </w:r>
          </w:p>
        </w:tc>
        <w:tc>
          <w:tcPr>
            <w:tcW w:w="795" w:type="dxa"/>
            <w:tcBorders>
              <w:top w:val="single" w:sz="4" w:space="0" w:color="000080"/>
              <w:left w:val="nil"/>
              <w:bottom w:val="single" w:sz="4" w:space="0" w:color="000080"/>
              <w:right w:val="single" w:sz="4" w:space="0" w:color="000080"/>
            </w:tcBorders>
            <w:shd w:val="clear" w:color="000000" w:fill="DCE6F1"/>
            <w:vAlign w:val="center"/>
            <w:hideMark/>
          </w:tcPr>
          <w:p w:rsidR="00612A89" w:rsidRPr="006B0E65" w:rsidRDefault="00612A89" w:rsidP="00AB29BA">
            <w:pPr>
              <w:spacing w:after="0" w:line="240" w:lineRule="auto"/>
              <w:jc w:val="center"/>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Ugovori o djelu</w:t>
            </w:r>
          </w:p>
        </w:tc>
        <w:tc>
          <w:tcPr>
            <w:tcW w:w="953" w:type="dxa"/>
            <w:tcBorders>
              <w:top w:val="single" w:sz="4" w:space="0" w:color="000080"/>
              <w:left w:val="nil"/>
              <w:bottom w:val="single" w:sz="4" w:space="0" w:color="000080"/>
              <w:right w:val="single" w:sz="4" w:space="0" w:color="000080"/>
            </w:tcBorders>
            <w:shd w:val="clear" w:color="000000" w:fill="DCE6F1"/>
            <w:vAlign w:val="center"/>
            <w:hideMark/>
          </w:tcPr>
          <w:p w:rsidR="00612A89" w:rsidRPr="006B0E65" w:rsidRDefault="00612A89" w:rsidP="00AB29BA">
            <w:pPr>
              <w:spacing w:after="0" w:line="240" w:lineRule="auto"/>
              <w:jc w:val="center"/>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Usluge odvjetnika i pravnog savjetovanja</w:t>
            </w:r>
          </w:p>
        </w:tc>
        <w:tc>
          <w:tcPr>
            <w:tcW w:w="807" w:type="dxa"/>
            <w:tcBorders>
              <w:top w:val="single" w:sz="4" w:space="0" w:color="000080"/>
              <w:left w:val="nil"/>
              <w:bottom w:val="single" w:sz="4" w:space="0" w:color="000080"/>
              <w:right w:val="single" w:sz="4" w:space="0" w:color="000080"/>
            </w:tcBorders>
            <w:shd w:val="clear" w:color="000000" w:fill="DCE6F1"/>
            <w:vAlign w:val="center"/>
            <w:hideMark/>
          </w:tcPr>
          <w:p w:rsidR="00612A89" w:rsidRPr="006B0E65" w:rsidRDefault="00612A89" w:rsidP="00AB29BA">
            <w:pPr>
              <w:spacing w:after="0" w:line="240" w:lineRule="auto"/>
              <w:jc w:val="center"/>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Revizorske usluge</w:t>
            </w:r>
          </w:p>
        </w:tc>
        <w:tc>
          <w:tcPr>
            <w:tcW w:w="894" w:type="dxa"/>
            <w:tcBorders>
              <w:top w:val="single" w:sz="4" w:space="0" w:color="000080"/>
              <w:left w:val="nil"/>
              <w:bottom w:val="single" w:sz="4" w:space="0" w:color="000080"/>
              <w:right w:val="single" w:sz="4" w:space="0" w:color="000080"/>
            </w:tcBorders>
            <w:shd w:val="clear" w:color="000000" w:fill="DCE6F1"/>
            <w:vAlign w:val="center"/>
            <w:hideMark/>
          </w:tcPr>
          <w:p w:rsidR="00612A89" w:rsidRPr="006B0E65" w:rsidRDefault="00612A89" w:rsidP="00AB29BA">
            <w:pPr>
              <w:spacing w:after="0" w:line="240" w:lineRule="auto"/>
              <w:jc w:val="center"/>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Geodetsko-katastarske usluge</w:t>
            </w:r>
          </w:p>
        </w:tc>
        <w:tc>
          <w:tcPr>
            <w:tcW w:w="799" w:type="dxa"/>
            <w:tcBorders>
              <w:top w:val="single" w:sz="4" w:space="0" w:color="000080"/>
              <w:left w:val="nil"/>
              <w:bottom w:val="single" w:sz="4" w:space="0" w:color="000080"/>
              <w:right w:val="single" w:sz="4" w:space="0" w:color="000080"/>
            </w:tcBorders>
            <w:shd w:val="clear" w:color="000000" w:fill="DCE6F1"/>
            <w:vAlign w:val="center"/>
            <w:hideMark/>
          </w:tcPr>
          <w:p w:rsidR="00612A89" w:rsidRPr="006B0E65" w:rsidRDefault="00612A89" w:rsidP="00AB29BA">
            <w:pPr>
              <w:spacing w:after="0" w:line="240" w:lineRule="auto"/>
              <w:jc w:val="center"/>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Usluge vještačenja</w:t>
            </w:r>
          </w:p>
        </w:tc>
        <w:tc>
          <w:tcPr>
            <w:tcW w:w="1043" w:type="dxa"/>
            <w:tcBorders>
              <w:top w:val="single" w:sz="4" w:space="0" w:color="000080"/>
              <w:left w:val="nil"/>
              <w:bottom w:val="single" w:sz="4" w:space="0" w:color="000080"/>
              <w:right w:val="single" w:sz="4" w:space="0" w:color="000080"/>
            </w:tcBorders>
            <w:shd w:val="clear" w:color="000000" w:fill="DCE6F1"/>
            <w:vAlign w:val="center"/>
            <w:hideMark/>
          </w:tcPr>
          <w:p w:rsidR="00612A89" w:rsidRPr="006B0E65" w:rsidRDefault="00612A89" w:rsidP="00AB29BA">
            <w:pPr>
              <w:spacing w:after="0" w:line="240" w:lineRule="auto"/>
              <w:jc w:val="center"/>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Usluge agencija, studentskog servisa (prijepisi, p</w:t>
            </w:r>
          </w:p>
        </w:tc>
        <w:tc>
          <w:tcPr>
            <w:tcW w:w="876" w:type="dxa"/>
            <w:tcBorders>
              <w:top w:val="single" w:sz="4" w:space="0" w:color="000080"/>
              <w:left w:val="nil"/>
              <w:bottom w:val="single" w:sz="4" w:space="0" w:color="000080"/>
              <w:right w:val="single" w:sz="4" w:space="0" w:color="000080"/>
            </w:tcBorders>
            <w:shd w:val="clear" w:color="000000" w:fill="DCE6F1"/>
            <w:vAlign w:val="center"/>
            <w:hideMark/>
          </w:tcPr>
          <w:p w:rsidR="00612A89" w:rsidRPr="006B0E65" w:rsidRDefault="00612A89" w:rsidP="00AB29BA">
            <w:pPr>
              <w:spacing w:after="0" w:line="240" w:lineRule="auto"/>
              <w:jc w:val="center"/>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Znanstvenoistraživačke usluge</w:t>
            </w:r>
          </w:p>
        </w:tc>
        <w:tc>
          <w:tcPr>
            <w:tcW w:w="923" w:type="dxa"/>
            <w:tcBorders>
              <w:top w:val="single" w:sz="4" w:space="0" w:color="000080"/>
              <w:left w:val="nil"/>
              <w:bottom w:val="single" w:sz="4" w:space="0" w:color="000080"/>
              <w:right w:val="single" w:sz="4" w:space="0" w:color="000080"/>
            </w:tcBorders>
            <w:shd w:val="clear" w:color="000000" w:fill="DCE6F1"/>
            <w:vAlign w:val="center"/>
            <w:hideMark/>
          </w:tcPr>
          <w:p w:rsidR="00612A89" w:rsidRPr="006B0E65" w:rsidRDefault="00612A89" w:rsidP="00AB29BA">
            <w:pPr>
              <w:spacing w:after="0" w:line="240" w:lineRule="auto"/>
              <w:jc w:val="center"/>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Ostale intelektualne usluge</w:t>
            </w:r>
          </w:p>
        </w:tc>
      </w:tr>
      <w:tr w:rsidR="00612A89" w:rsidRPr="006B0E65" w:rsidTr="00612A89">
        <w:trPr>
          <w:trHeight w:val="300"/>
        </w:trPr>
        <w:tc>
          <w:tcPr>
            <w:tcW w:w="1008" w:type="dxa"/>
            <w:tcBorders>
              <w:top w:val="nil"/>
              <w:left w:val="single" w:sz="4" w:space="0" w:color="000080"/>
              <w:bottom w:val="single" w:sz="4" w:space="0" w:color="000080"/>
              <w:right w:val="single" w:sz="4" w:space="0" w:color="000080"/>
            </w:tcBorders>
            <w:shd w:val="clear" w:color="000000" w:fill="DCE6F1"/>
            <w:noWrap/>
            <w:vAlign w:val="center"/>
            <w:hideMark/>
          </w:tcPr>
          <w:p w:rsidR="00612A89" w:rsidRPr="006B0E65" w:rsidRDefault="00612A89" w:rsidP="00612A89">
            <w:pPr>
              <w:spacing w:after="0" w:line="240" w:lineRule="auto"/>
              <w:rPr>
                <w:rFonts w:ascii="Arial" w:eastAsia="Times New Roman" w:hAnsi="Arial" w:cs="Arial"/>
                <w:sz w:val="16"/>
                <w:szCs w:val="16"/>
                <w:lang w:eastAsia="hr-HR"/>
              </w:rPr>
            </w:pPr>
            <w:r w:rsidRPr="006B0E65">
              <w:rPr>
                <w:rFonts w:ascii="Arial" w:eastAsia="Times New Roman" w:hAnsi="Arial" w:cs="Arial"/>
                <w:sz w:val="16"/>
                <w:szCs w:val="16"/>
                <w:lang w:eastAsia="hr-HR"/>
              </w:rPr>
              <w:t>Ukupno</w:t>
            </w:r>
          </w:p>
        </w:tc>
        <w:tc>
          <w:tcPr>
            <w:tcW w:w="850" w:type="dxa"/>
            <w:tcBorders>
              <w:top w:val="nil"/>
              <w:left w:val="nil"/>
              <w:bottom w:val="single" w:sz="4" w:space="0" w:color="000080"/>
              <w:right w:val="single" w:sz="4" w:space="0" w:color="000080"/>
            </w:tcBorders>
            <w:shd w:val="clear" w:color="000000" w:fill="DCE6F1"/>
            <w:noWrap/>
            <w:vAlign w:val="center"/>
            <w:hideMark/>
          </w:tcPr>
          <w:p w:rsidR="00612A89" w:rsidRPr="006B0E65" w:rsidRDefault="00612A89" w:rsidP="00612A89">
            <w:pPr>
              <w:spacing w:after="0" w:line="240" w:lineRule="auto"/>
              <w:jc w:val="right"/>
              <w:rPr>
                <w:rFonts w:ascii="Arial" w:eastAsia="Times New Roman" w:hAnsi="Arial" w:cs="Arial"/>
                <w:b/>
                <w:bCs/>
                <w:color w:val="000000"/>
                <w:sz w:val="16"/>
                <w:szCs w:val="16"/>
                <w:lang w:eastAsia="hr-HR"/>
              </w:rPr>
            </w:pPr>
            <w:r w:rsidRPr="006B0E65">
              <w:rPr>
                <w:rFonts w:ascii="Arial" w:eastAsia="Times New Roman" w:hAnsi="Arial" w:cs="Arial"/>
                <w:b/>
                <w:bCs/>
                <w:color w:val="000000"/>
                <w:sz w:val="16"/>
                <w:szCs w:val="16"/>
                <w:lang w:eastAsia="hr-HR"/>
              </w:rPr>
              <w:t>790,303</w:t>
            </w:r>
          </w:p>
        </w:tc>
        <w:tc>
          <w:tcPr>
            <w:tcW w:w="804" w:type="dxa"/>
            <w:tcBorders>
              <w:top w:val="nil"/>
              <w:left w:val="nil"/>
              <w:bottom w:val="single" w:sz="4" w:space="0" w:color="000080"/>
              <w:right w:val="single" w:sz="4" w:space="0" w:color="000080"/>
            </w:tcBorders>
            <w:shd w:val="clear" w:color="000000" w:fill="DCE6F1"/>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24,823</w:t>
            </w:r>
          </w:p>
        </w:tc>
        <w:tc>
          <w:tcPr>
            <w:tcW w:w="795" w:type="dxa"/>
            <w:tcBorders>
              <w:top w:val="nil"/>
              <w:left w:val="nil"/>
              <w:bottom w:val="single" w:sz="4" w:space="0" w:color="000080"/>
              <w:right w:val="single" w:sz="4" w:space="0" w:color="000080"/>
            </w:tcBorders>
            <w:shd w:val="clear" w:color="000000" w:fill="DCE6F1"/>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104,377</w:t>
            </w:r>
          </w:p>
        </w:tc>
        <w:tc>
          <w:tcPr>
            <w:tcW w:w="953" w:type="dxa"/>
            <w:tcBorders>
              <w:top w:val="nil"/>
              <w:left w:val="nil"/>
              <w:bottom w:val="single" w:sz="4" w:space="0" w:color="000080"/>
              <w:right w:val="single" w:sz="4" w:space="0" w:color="000080"/>
            </w:tcBorders>
            <w:shd w:val="clear" w:color="000000" w:fill="DCE6F1"/>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147,243</w:t>
            </w:r>
          </w:p>
        </w:tc>
        <w:tc>
          <w:tcPr>
            <w:tcW w:w="807" w:type="dxa"/>
            <w:tcBorders>
              <w:top w:val="nil"/>
              <w:left w:val="nil"/>
              <w:bottom w:val="single" w:sz="4" w:space="0" w:color="000080"/>
              <w:right w:val="single" w:sz="4" w:space="0" w:color="000080"/>
            </w:tcBorders>
            <w:shd w:val="clear" w:color="000000" w:fill="DCE6F1"/>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1,158</w:t>
            </w:r>
          </w:p>
        </w:tc>
        <w:tc>
          <w:tcPr>
            <w:tcW w:w="894" w:type="dxa"/>
            <w:tcBorders>
              <w:top w:val="nil"/>
              <w:left w:val="nil"/>
              <w:bottom w:val="single" w:sz="4" w:space="0" w:color="000080"/>
              <w:right w:val="single" w:sz="4" w:space="0" w:color="000080"/>
            </w:tcBorders>
            <w:shd w:val="clear" w:color="000000" w:fill="DCE6F1"/>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16,310</w:t>
            </w:r>
          </w:p>
        </w:tc>
        <w:tc>
          <w:tcPr>
            <w:tcW w:w="799" w:type="dxa"/>
            <w:tcBorders>
              <w:top w:val="nil"/>
              <w:left w:val="nil"/>
              <w:bottom w:val="single" w:sz="4" w:space="0" w:color="000080"/>
              <w:right w:val="single" w:sz="4" w:space="0" w:color="000080"/>
            </w:tcBorders>
            <w:shd w:val="clear" w:color="000000" w:fill="DCE6F1"/>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63,275</w:t>
            </w:r>
          </w:p>
        </w:tc>
        <w:tc>
          <w:tcPr>
            <w:tcW w:w="1043" w:type="dxa"/>
            <w:tcBorders>
              <w:top w:val="nil"/>
              <w:left w:val="nil"/>
              <w:bottom w:val="single" w:sz="4" w:space="0" w:color="000080"/>
              <w:right w:val="single" w:sz="4" w:space="0" w:color="000080"/>
            </w:tcBorders>
            <w:shd w:val="clear" w:color="000000" w:fill="DCE6F1"/>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24,786</w:t>
            </w:r>
          </w:p>
        </w:tc>
        <w:tc>
          <w:tcPr>
            <w:tcW w:w="876" w:type="dxa"/>
            <w:tcBorders>
              <w:top w:val="nil"/>
              <w:left w:val="nil"/>
              <w:bottom w:val="single" w:sz="4" w:space="0" w:color="000080"/>
              <w:right w:val="single" w:sz="4" w:space="0" w:color="000080"/>
            </w:tcBorders>
            <w:shd w:val="clear" w:color="000000" w:fill="DCE6F1"/>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3,840</w:t>
            </w:r>
          </w:p>
        </w:tc>
        <w:tc>
          <w:tcPr>
            <w:tcW w:w="923" w:type="dxa"/>
            <w:tcBorders>
              <w:top w:val="nil"/>
              <w:left w:val="nil"/>
              <w:bottom w:val="single" w:sz="4" w:space="0" w:color="000080"/>
              <w:right w:val="single" w:sz="4" w:space="0" w:color="000080"/>
            </w:tcBorders>
            <w:shd w:val="clear" w:color="000000" w:fill="DCE6F1"/>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404,49</w:t>
            </w:r>
            <w:r w:rsidR="00630D12" w:rsidRPr="006B0E65">
              <w:rPr>
                <w:rFonts w:ascii="Arial" w:eastAsia="Times New Roman" w:hAnsi="Arial" w:cs="Arial"/>
                <w:color w:val="000000"/>
                <w:sz w:val="16"/>
                <w:szCs w:val="16"/>
                <w:lang w:eastAsia="hr-HR"/>
              </w:rPr>
              <w:t>0</w:t>
            </w:r>
          </w:p>
        </w:tc>
      </w:tr>
      <w:tr w:rsidR="00612A89" w:rsidRPr="006B0E65" w:rsidTr="00612A89">
        <w:trPr>
          <w:trHeight w:val="300"/>
        </w:trPr>
        <w:tc>
          <w:tcPr>
            <w:tcW w:w="1008" w:type="dxa"/>
            <w:tcBorders>
              <w:top w:val="nil"/>
              <w:left w:val="single" w:sz="4" w:space="0" w:color="000080"/>
              <w:bottom w:val="single" w:sz="4" w:space="0" w:color="000080"/>
              <w:right w:val="single" w:sz="4" w:space="0" w:color="000080"/>
            </w:tcBorders>
            <w:shd w:val="clear" w:color="auto" w:fill="auto"/>
            <w:noWrap/>
            <w:vAlign w:val="center"/>
            <w:hideMark/>
          </w:tcPr>
          <w:p w:rsidR="00612A89" w:rsidRPr="006B0E65" w:rsidRDefault="00612A89" w:rsidP="00612A89">
            <w:pPr>
              <w:spacing w:after="0" w:line="240" w:lineRule="auto"/>
              <w:rPr>
                <w:rFonts w:ascii="Arial" w:eastAsia="Times New Roman" w:hAnsi="Arial" w:cs="Arial"/>
                <w:sz w:val="16"/>
                <w:szCs w:val="16"/>
                <w:lang w:eastAsia="hr-HR"/>
              </w:rPr>
            </w:pPr>
            <w:r w:rsidRPr="006B0E65">
              <w:rPr>
                <w:rFonts w:ascii="Arial" w:eastAsia="Times New Roman" w:hAnsi="Arial" w:cs="Arial"/>
                <w:sz w:val="16"/>
                <w:szCs w:val="16"/>
                <w:lang w:eastAsia="hr-HR"/>
              </w:rPr>
              <w:t>1+2+8</w:t>
            </w:r>
          </w:p>
        </w:tc>
        <w:tc>
          <w:tcPr>
            <w:tcW w:w="850" w:type="dxa"/>
            <w:tcBorders>
              <w:top w:val="nil"/>
              <w:left w:val="nil"/>
              <w:bottom w:val="single" w:sz="4" w:space="0" w:color="000080"/>
              <w:right w:val="single" w:sz="4" w:space="0" w:color="000080"/>
            </w:tcBorders>
            <w:shd w:val="clear" w:color="auto" w:fill="auto"/>
            <w:noWrap/>
            <w:vAlign w:val="center"/>
            <w:hideMark/>
          </w:tcPr>
          <w:p w:rsidR="00612A89" w:rsidRPr="006B0E65" w:rsidRDefault="00612A89" w:rsidP="00612A89">
            <w:pPr>
              <w:spacing w:after="0" w:line="240" w:lineRule="auto"/>
              <w:jc w:val="right"/>
              <w:rPr>
                <w:rFonts w:ascii="Arial" w:eastAsia="Times New Roman" w:hAnsi="Arial" w:cs="Arial"/>
                <w:b/>
                <w:bCs/>
                <w:color w:val="000000"/>
                <w:sz w:val="16"/>
                <w:szCs w:val="16"/>
                <w:lang w:eastAsia="hr-HR"/>
              </w:rPr>
            </w:pPr>
            <w:r w:rsidRPr="006B0E65">
              <w:rPr>
                <w:rFonts w:ascii="Arial" w:eastAsia="Times New Roman" w:hAnsi="Arial" w:cs="Arial"/>
                <w:b/>
                <w:bCs/>
                <w:color w:val="000000"/>
                <w:sz w:val="16"/>
                <w:szCs w:val="16"/>
                <w:lang w:eastAsia="hr-HR"/>
              </w:rPr>
              <w:t>622,952</w:t>
            </w:r>
          </w:p>
        </w:tc>
        <w:tc>
          <w:tcPr>
            <w:tcW w:w="804" w:type="dxa"/>
            <w:tcBorders>
              <w:top w:val="nil"/>
              <w:left w:val="nil"/>
              <w:bottom w:val="single" w:sz="4" w:space="0" w:color="000080"/>
              <w:right w:val="single" w:sz="4" w:space="0" w:color="000080"/>
            </w:tcBorders>
            <w:shd w:val="clear" w:color="auto" w:fill="auto"/>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20,699</w:t>
            </w:r>
          </w:p>
        </w:tc>
        <w:tc>
          <w:tcPr>
            <w:tcW w:w="795" w:type="dxa"/>
            <w:tcBorders>
              <w:top w:val="nil"/>
              <w:left w:val="nil"/>
              <w:bottom w:val="single" w:sz="4" w:space="0" w:color="000080"/>
              <w:right w:val="single" w:sz="4" w:space="0" w:color="000080"/>
            </w:tcBorders>
            <w:shd w:val="clear" w:color="auto" w:fill="auto"/>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85,189</w:t>
            </w:r>
          </w:p>
        </w:tc>
        <w:tc>
          <w:tcPr>
            <w:tcW w:w="953" w:type="dxa"/>
            <w:tcBorders>
              <w:top w:val="nil"/>
              <w:left w:val="nil"/>
              <w:bottom w:val="single" w:sz="4" w:space="0" w:color="000080"/>
              <w:right w:val="single" w:sz="4" w:space="0" w:color="000080"/>
            </w:tcBorders>
            <w:shd w:val="clear" w:color="auto" w:fill="auto"/>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146,726</w:t>
            </w:r>
          </w:p>
        </w:tc>
        <w:tc>
          <w:tcPr>
            <w:tcW w:w="807" w:type="dxa"/>
            <w:tcBorders>
              <w:top w:val="nil"/>
              <w:left w:val="nil"/>
              <w:bottom w:val="single" w:sz="4" w:space="0" w:color="000080"/>
              <w:right w:val="single" w:sz="4" w:space="0" w:color="000080"/>
            </w:tcBorders>
            <w:shd w:val="clear" w:color="auto" w:fill="auto"/>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0,854</w:t>
            </w:r>
          </w:p>
        </w:tc>
        <w:tc>
          <w:tcPr>
            <w:tcW w:w="894" w:type="dxa"/>
            <w:tcBorders>
              <w:top w:val="nil"/>
              <w:left w:val="nil"/>
              <w:bottom w:val="single" w:sz="4" w:space="0" w:color="000080"/>
              <w:right w:val="single" w:sz="4" w:space="0" w:color="000080"/>
            </w:tcBorders>
            <w:shd w:val="clear" w:color="auto" w:fill="auto"/>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13,916</w:t>
            </w:r>
          </w:p>
        </w:tc>
        <w:tc>
          <w:tcPr>
            <w:tcW w:w="799" w:type="dxa"/>
            <w:tcBorders>
              <w:top w:val="nil"/>
              <w:left w:val="nil"/>
              <w:bottom w:val="single" w:sz="4" w:space="0" w:color="000080"/>
              <w:right w:val="single" w:sz="4" w:space="0" w:color="000080"/>
            </w:tcBorders>
            <w:shd w:val="clear" w:color="auto" w:fill="auto"/>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61,912</w:t>
            </w:r>
          </w:p>
        </w:tc>
        <w:tc>
          <w:tcPr>
            <w:tcW w:w="1043" w:type="dxa"/>
            <w:tcBorders>
              <w:top w:val="nil"/>
              <w:left w:val="nil"/>
              <w:bottom w:val="single" w:sz="4" w:space="0" w:color="000080"/>
              <w:right w:val="single" w:sz="4" w:space="0" w:color="000080"/>
            </w:tcBorders>
            <w:shd w:val="clear" w:color="auto" w:fill="auto"/>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23,083</w:t>
            </w:r>
          </w:p>
        </w:tc>
        <w:tc>
          <w:tcPr>
            <w:tcW w:w="876" w:type="dxa"/>
            <w:tcBorders>
              <w:top w:val="nil"/>
              <w:left w:val="nil"/>
              <w:bottom w:val="single" w:sz="4" w:space="0" w:color="000080"/>
              <w:right w:val="single" w:sz="4" w:space="0" w:color="000080"/>
            </w:tcBorders>
            <w:shd w:val="clear" w:color="auto" w:fill="auto"/>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3,109</w:t>
            </w:r>
          </w:p>
        </w:tc>
        <w:tc>
          <w:tcPr>
            <w:tcW w:w="923" w:type="dxa"/>
            <w:tcBorders>
              <w:top w:val="nil"/>
              <w:left w:val="nil"/>
              <w:bottom w:val="single" w:sz="4" w:space="0" w:color="000080"/>
              <w:right w:val="single" w:sz="4" w:space="0" w:color="000080"/>
            </w:tcBorders>
            <w:shd w:val="clear" w:color="auto" w:fill="auto"/>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267,463</w:t>
            </w:r>
          </w:p>
        </w:tc>
      </w:tr>
      <w:tr w:rsidR="00612A89" w:rsidRPr="006B0E65" w:rsidTr="00612A89">
        <w:trPr>
          <w:trHeight w:val="300"/>
        </w:trPr>
        <w:tc>
          <w:tcPr>
            <w:tcW w:w="1008" w:type="dxa"/>
            <w:tcBorders>
              <w:top w:val="nil"/>
              <w:left w:val="single" w:sz="4" w:space="0" w:color="000080"/>
              <w:bottom w:val="single" w:sz="4" w:space="0" w:color="000080"/>
              <w:right w:val="single" w:sz="4" w:space="0" w:color="000080"/>
            </w:tcBorders>
            <w:shd w:val="clear" w:color="auto" w:fill="auto"/>
            <w:noWrap/>
            <w:vAlign w:val="center"/>
            <w:hideMark/>
          </w:tcPr>
          <w:p w:rsidR="00612A89" w:rsidRPr="006B0E65" w:rsidRDefault="00612A89" w:rsidP="00612A89">
            <w:pPr>
              <w:spacing w:after="0" w:line="240" w:lineRule="auto"/>
              <w:rPr>
                <w:rFonts w:ascii="Arial" w:eastAsia="Times New Roman" w:hAnsi="Arial" w:cs="Arial"/>
                <w:sz w:val="16"/>
                <w:szCs w:val="16"/>
                <w:lang w:eastAsia="hr-HR"/>
              </w:rPr>
            </w:pPr>
            <w:r w:rsidRPr="006B0E65">
              <w:rPr>
                <w:rFonts w:ascii="Arial" w:eastAsia="Times New Roman" w:hAnsi="Arial" w:cs="Arial"/>
                <w:sz w:val="16"/>
                <w:szCs w:val="16"/>
                <w:lang w:eastAsia="hr-HR"/>
              </w:rPr>
              <w:t>ostali izvori</w:t>
            </w:r>
          </w:p>
        </w:tc>
        <w:tc>
          <w:tcPr>
            <w:tcW w:w="850" w:type="dxa"/>
            <w:tcBorders>
              <w:top w:val="nil"/>
              <w:left w:val="nil"/>
              <w:bottom w:val="single" w:sz="4" w:space="0" w:color="000080"/>
              <w:right w:val="single" w:sz="4" w:space="0" w:color="000080"/>
            </w:tcBorders>
            <w:shd w:val="clear" w:color="auto" w:fill="auto"/>
            <w:noWrap/>
            <w:vAlign w:val="center"/>
            <w:hideMark/>
          </w:tcPr>
          <w:p w:rsidR="00612A89" w:rsidRPr="006B0E65" w:rsidRDefault="00612A89" w:rsidP="00612A89">
            <w:pPr>
              <w:spacing w:after="0" w:line="240" w:lineRule="auto"/>
              <w:jc w:val="right"/>
              <w:rPr>
                <w:rFonts w:ascii="Arial" w:eastAsia="Times New Roman" w:hAnsi="Arial" w:cs="Arial"/>
                <w:b/>
                <w:bCs/>
                <w:color w:val="000000"/>
                <w:sz w:val="16"/>
                <w:szCs w:val="16"/>
                <w:lang w:eastAsia="hr-HR"/>
              </w:rPr>
            </w:pPr>
            <w:r w:rsidRPr="006B0E65">
              <w:rPr>
                <w:rFonts w:ascii="Arial" w:eastAsia="Times New Roman" w:hAnsi="Arial" w:cs="Arial"/>
                <w:b/>
                <w:bCs/>
                <w:color w:val="000000"/>
                <w:sz w:val="16"/>
                <w:szCs w:val="16"/>
                <w:lang w:eastAsia="hr-HR"/>
              </w:rPr>
              <w:t>167,351</w:t>
            </w:r>
          </w:p>
        </w:tc>
        <w:tc>
          <w:tcPr>
            <w:tcW w:w="804" w:type="dxa"/>
            <w:tcBorders>
              <w:top w:val="nil"/>
              <w:left w:val="nil"/>
              <w:bottom w:val="single" w:sz="4" w:space="0" w:color="000080"/>
              <w:right w:val="single" w:sz="4" w:space="0" w:color="000080"/>
            </w:tcBorders>
            <w:shd w:val="clear" w:color="auto" w:fill="auto"/>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4,124</w:t>
            </w:r>
          </w:p>
        </w:tc>
        <w:tc>
          <w:tcPr>
            <w:tcW w:w="795" w:type="dxa"/>
            <w:tcBorders>
              <w:top w:val="nil"/>
              <w:left w:val="nil"/>
              <w:bottom w:val="single" w:sz="4" w:space="0" w:color="000080"/>
              <w:right w:val="single" w:sz="4" w:space="0" w:color="000080"/>
            </w:tcBorders>
            <w:shd w:val="clear" w:color="auto" w:fill="auto"/>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19,187</w:t>
            </w:r>
          </w:p>
        </w:tc>
        <w:tc>
          <w:tcPr>
            <w:tcW w:w="953" w:type="dxa"/>
            <w:tcBorders>
              <w:top w:val="nil"/>
              <w:left w:val="nil"/>
              <w:bottom w:val="single" w:sz="4" w:space="0" w:color="000080"/>
              <w:right w:val="single" w:sz="4" w:space="0" w:color="000080"/>
            </w:tcBorders>
            <w:shd w:val="clear" w:color="auto" w:fill="auto"/>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0,517</w:t>
            </w:r>
          </w:p>
        </w:tc>
        <w:tc>
          <w:tcPr>
            <w:tcW w:w="807" w:type="dxa"/>
            <w:tcBorders>
              <w:top w:val="nil"/>
              <w:left w:val="nil"/>
              <w:bottom w:val="single" w:sz="4" w:space="0" w:color="000080"/>
              <w:right w:val="single" w:sz="4" w:space="0" w:color="000080"/>
            </w:tcBorders>
            <w:shd w:val="clear" w:color="auto" w:fill="auto"/>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0,304</w:t>
            </w:r>
          </w:p>
        </w:tc>
        <w:tc>
          <w:tcPr>
            <w:tcW w:w="894" w:type="dxa"/>
            <w:tcBorders>
              <w:top w:val="nil"/>
              <w:left w:val="nil"/>
              <w:bottom w:val="single" w:sz="4" w:space="0" w:color="000080"/>
              <w:right w:val="single" w:sz="4" w:space="0" w:color="000080"/>
            </w:tcBorders>
            <w:shd w:val="clear" w:color="auto" w:fill="auto"/>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2,394</w:t>
            </w:r>
          </w:p>
        </w:tc>
        <w:tc>
          <w:tcPr>
            <w:tcW w:w="799" w:type="dxa"/>
            <w:tcBorders>
              <w:top w:val="nil"/>
              <w:left w:val="nil"/>
              <w:bottom w:val="single" w:sz="4" w:space="0" w:color="000080"/>
              <w:right w:val="single" w:sz="4" w:space="0" w:color="000080"/>
            </w:tcBorders>
            <w:shd w:val="clear" w:color="auto" w:fill="auto"/>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1,364</w:t>
            </w:r>
          </w:p>
        </w:tc>
        <w:tc>
          <w:tcPr>
            <w:tcW w:w="1043" w:type="dxa"/>
            <w:tcBorders>
              <w:top w:val="nil"/>
              <w:left w:val="nil"/>
              <w:bottom w:val="single" w:sz="4" w:space="0" w:color="000080"/>
              <w:right w:val="single" w:sz="4" w:space="0" w:color="000080"/>
            </w:tcBorders>
            <w:shd w:val="clear" w:color="auto" w:fill="auto"/>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1,703</w:t>
            </w:r>
          </w:p>
        </w:tc>
        <w:tc>
          <w:tcPr>
            <w:tcW w:w="876" w:type="dxa"/>
            <w:tcBorders>
              <w:top w:val="nil"/>
              <w:left w:val="nil"/>
              <w:bottom w:val="single" w:sz="4" w:space="0" w:color="000080"/>
              <w:right w:val="single" w:sz="4" w:space="0" w:color="000080"/>
            </w:tcBorders>
            <w:shd w:val="clear" w:color="auto" w:fill="auto"/>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0,732</w:t>
            </w:r>
          </w:p>
        </w:tc>
        <w:tc>
          <w:tcPr>
            <w:tcW w:w="923" w:type="dxa"/>
            <w:tcBorders>
              <w:top w:val="nil"/>
              <w:left w:val="nil"/>
              <w:bottom w:val="single" w:sz="4" w:space="0" w:color="000080"/>
              <w:right w:val="single" w:sz="4" w:space="0" w:color="000080"/>
            </w:tcBorders>
            <w:shd w:val="clear" w:color="auto" w:fill="auto"/>
            <w:noWrap/>
            <w:vAlign w:val="center"/>
            <w:hideMark/>
          </w:tcPr>
          <w:p w:rsidR="00612A89" w:rsidRPr="006B0E65" w:rsidRDefault="00612A89" w:rsidP="00612A89">
            <w:pPr>
              <w:spacing w:after="0" w:line="240" w:lineRule="auto"/>
              <w:jc w:val="right"/>
              <w:rPr>
                <w:rFonts w:ascii="Arial" w:eastAsia="Times New Roman" w:hAnsi="Arial" w:cs="Arial"/>
                <w:color w:val="000000"/>
                <w:sz w:val="16"/>
                <w:szCs w:val="16"/>
                <w:lang w:eastAsia="hr-HR"/>
              </w:rPr>
            </w:pPr>
            <w:r w:rsidRPr="006B0E65">
              <w:rPr>
                <w:rFonts w:ascii="Arial" w:eastAsia="Times New Roman" w:hAnsi="Arial" w:cs="Arial"/>
                <w:color w:val="000000"/>
                <w:sz w:val="16"/>
                <w:szCs w:val="16"/>
                <w:lang w:eastAsia="hr-HR"/>
              </w:rPr>
              <w:t>137,027</w:t>
            </w:r>
          </w:p>
        </w:tc>
      </w:tr>
    </w:tbl>
    <w:p w:rsidR="00ED6BCB" w:rsidRPr="00FA7F54" w:rsidRDefault="00ED6BCB" w:rsidP="00161BD1">
      <w:pPr>
        <w:spacing w:after="0" w:line="240" w:lineRule="auto"/>
        <w:rPr>
          <w:rFonts w:ascii="Times New Roman" w:hAnsi="Times New Roman" w:cs="Times New Roman"/>
        </w:rPr>
      </w:pPr>
    </w:p>
    <w:p w:rsidR="004F19FD" w:rsidRPr="00161BD1" w:rsidRDefault="00B42DD7" w:rsidP="00161BD1">
      <w:pPr>
        <w:shd w:val="clear" w:color="auto" w:fill="FFFFFF"/>
        <w:spacing w:after="0" w:line="240" w:lineRule="auto"/>
        <w:ind w:firstLine="360"/>
        <w:jc w:val="both"/>
        <w:rPr>
          <w:rFonts w:ascii="Times New Roman" w:hAnsi="Times New Roman" w:cs="Times New Roman"/>
          <w:u w:val="single"/>
        </w:rPr>
      </w:pPr>
      <w:r w:rsidRPr="00FA7F54">
        <w:rPr>
          <w:rFonts w:ascii="Times New Roman" w:hAnsi="Times New Roman" w:cs="Times New Roman"/>
          <w:u w:val="single"/>
        </w:rPr>
        <w:t>Mjere za smanjenj</w:t>
      </w:r>
      <w:r w:rsidR="00320AF5">
        <w:rPr>
          <w:rFonts w:ascii="Times New Roman" w:hAnsi="Times New Roman" w:cs="Times New Roman"/>
          <w:u w:val="single"/>
        </w:rPr>
        <w:t>e odnosno optimizaciju rashoda:</w:t>
      </w:r>
    </w:p>
    <w:p w:rsidR="00B35A17" w:rsidRPr="00FA7F54" w:rsidRDefault="00A554DF" w:rsidP="00161BD1">
      <w:pPr>
        <w:pStyle w:val="Odlomakpopisa"/>
        <w:numPr>
          <w:ilvl w:val="0"/>
          <w:numId w:val="6"/>
        </w:numPr>
        <w:spacing w:after="0" w:line="240" w:lineRule="auto"/>
        <w:jc w:val="both"/>
        <w:rPr>
          <w:rFonts w:ascii="Times New Roman" w:hAnsi="Times New Roman" w:cs="Times New Roman"/>
        </w:rPr>
      </w:pPr>
      <w:r w:rsidRPr="00FA7F54">
        <w:rPr>
          <w:rFonts w:ascii="Times New Roman" w:hAnsi="Times New Roman" w:cs="Times New Roman"/>
        </w:rPr>
        <w:t xml:space="preserve">Procjena </w:t>
      </w:r>
      <w:r w:rsidRPr="00FA7F54">
        <w:rPr>
          <w:rFonts w:ascii="Times New Roman" w:eastAsia="Times New Roman" w:hAnsi="Times New Roman"/>
          <w:lang w:eastAsia="hr-HR"/>
        </w:rPr>
        <w:t>učinkovitog i djelotvornog funkcioniranja sustava financijskog upravljanja i kontrola</w:t>
      </w:r>
      <w:r w:rsidRPr="00FA7F54">
        <w:rPr>
          <w:rFonts w:ascii="Times New Roman" w:hAnsi="Times New Roman" w:cs="Times New Roman"/>
        </w:rPr>
        <w:t xml:space="preserve">: </w:t>
      </w:r>
      <w:r w:rsidR="00181E6A" w:rsidRPr="00FA7F54">
        <w:rPr>
          <w:rFonts w:ascii="Times New Roman" w:hAnsi="Times New Roman" w:cs="Times New Roman"/>
        </w:rPr>
        <w:t>Izračun udjela isplaćenih ugovora o</w:t>
      </w:r>
      <w:r w:rsidRPr="00FA7F54">
        <w:rPr>
          <w:rFonts w:ascii="Times New Roman" w:hAnsi="Times New Roman" w:cs="Times New Roman"/>
        </w:rPr>
        <w:t xml:space="preserve"> (autorskom)</w:t>
      </w:r>
      <w:r w:rsidR="00181E6A" w:rsidRPr="00FA7F54">
        <w:rPr>
          <w:rFonts w:ascii="Times New Roman" w:hAnsi="Times New Roman" w:cs="Times New Roman"/>
        </w:rPr>
        <w:t xml:space="preserve"> djelu u odnosu na sredstva za plaće</w:t>
      </w:r>
      <w:r w:rsidR="00187234">
        <w:rPr>
          <w:rFonts w:ascii="Times New Roman" w:hAnsi="Times New Roman" w:cs="Times New Roman"/>
        </w:rPr>
        <w:t>.</w:t>
      </w:r>
      <w:r w:rsidR="00B35A17" w:rsidRPr="00FA7F54">
        <w:rPr>
          <w:rFonts w:ascii="Times New Roman" w:hAnsi="Times New Roman" w:cs="Times New Roman"/>
        </w:rPr>
        <w:t xml:space="preserve"> </w:t>
      </w:r>
    </w:p>
    <w:p w:rsidR="001E4C4E" w:rsidRDefault="00D96D58" w:rsidP="00161BD1">
      <w:pPr>
        <w:spacing w:after="0" w:line="240" w:lineRule="auto"/>
        <w:jc w:val="both"/>
        <w:rPr>
          <w:rFonts w:ascii="Times New Roman" w:hAnsi="Times New Roman" w:cs="Times New Roman"/>
        </w:rPr>
      </w:pPr>
      <w:r w:rsidRPr="00FA7F54">
        <w:rPr>
          <w:rFonts w:ascii="Times New Roman" w:hAnsi="Times New Roman" w:cs="Times New Roman"/>
        </w:rPr>
        <w:t xml:space="preserve">U okviru neracionalnosti u javnom sektoru koje je </w:t>
      </w:r>
      <w:r w:rsidR="00AB29BA" w:rsidRPr="00FA7F54">
        <w:rPr>
          <w:rFonts w:ascii="Times New Roman" w:hAnsi="Times New Roman" w:cs="Times New Roman"/>
        </w:rPr>
        <w:t>identificira</w:t>
      </w:r>
      <w:r w:rsidR="00AB29BA">
        <w:rPr>
          <w:rFonts w:ascii="Times New Roman" w:hAnsi="Times New Roman" w:cs="Times New Roman"/>
        </w:rPr>
        <w:t>o</w:t>
      </w:r>
      <w:r w:rsidR="00AB29BA" w:rsidRPr="00FA7F54">
        <w:rPr>
          <w:rFonts w:ascii="Times New Roman" w:hAnsi="Times New Roman" w:cs="Times New Roman"/>
        </w:rPr>
        <w:t xml:space="preserve"> </w:t>
      </w:r>
      <w:r w:rsidR="00AB29BA">
        <w:rPr>
          <w:rFonts w:ascii="Times New Roman" w:hAnsi="Times New Roman" w:cs="Times New Roman"/>
        </w:rPr>
        <w:t>Državni ured za reviziju</w:t>
      </w:r>
      <w:r w:rsidRPr="00FA7F54">
        <w:rPr>
          <w:rFonts w:ascii="Times New Roman" w:hAnsi="Times New Roman" w:cs="Times New Roman"/>
        </w:rPr>
        <w:t xml:space="preserve"> navodi se da</w:t>
      </w:r>
      <w:r w:rsidR="00576438">
        <w:rPr>
          <w:rFonts w:ascii="Times New Roman" w:hAnsi="Times New Roman" w:cs="Times New Roman"/>
        </w:rPr>
        <w:t xml:space="preserve"> su</w:t>
      </w:r>
      <w:r w:rsidRPr="00FA7F54">
        <w:rPr>
          <w:rFonts w:ascii="Times New Roman" w:hAnsi="Times New Roman" w:cs="Times New Roman"/>
        </w:rPr>
        <w:t xml:space="preserve"> pojedini poslovi iz djel</w:t>
      </w:r>
      <w:r w:rsidR="00576438">
        <w:rPr>
          <w:rFonts w:ascii="Times New Roman" w:hAnsi="Times New Roman" w:cs="Times New Roman"/>
        </w:rPr>
        <w:t>okruga proračunskih korisnika</w:t>
      </w:r>
      <w:r w:rsidRPr="00FA7F54">
        <w:rPr>
          <w:rFonts w:ascii="Times New Roman" w:hAnsi="Times New Roman" w:cs="Times New Roman"/>
        </w:rPr>
        <w:t xml:space="preserve"> povjereni vanjskim izvršiteljima, umjesto zaposlenicima kojima je obavljanje tih poslova propisano uredbama o unutarnjem ustrojstvu. Ugovori o djelu zaključuju se s vanjskim suradnicima za poslove iz djelokruga proračunskog korisnika ili su rashodi na temelju zaključenih ugovora o djelu veći od iznosa propisanog odredbama Zakona o državnim službenicima odnosno 2,0 % osiguranih sredstava za plaće u tekućoj godini. U dostavljenim očitovanjima revidirani subjekti kao razloge uglavnom navode zabranu zapošljavanja planiranog broja zaposlenika.</w:t>
      </w:r>
      <w:r w:rsidR="00BD4433" w:rsidRPr="00FA7F54">
        <w:rPr>
          <w:rFonts w:ascii="Times New Roman" w:hAnsi="Times New Roman" w:cs="Times New Roman"/>
        </w:rPr>
        <w:t xml:space="preserve"> </w:t>
      </w:r>
      <w:r w:rsidRPr="00FA7F54">
        <w:rPr>
          <w:rFonts w:ascii="Times New Roman" w:hAnsi="Times New Roman" w:cs="Times New Roman"/>
        </w:rPr>
        <w:t>Raspolaganje proračunskim sredstvima ministarstava koja nisu provela racionalizaciju rashoda za usluge odnosno koja nisu uskladila svoje poslovanje sukladno odredbama Zakona o državnim službenicima ne može se smatrati učinkovitim i ekonomičnim</w:t>
      </w:r>
      <w:r w:rsidR="00187234">
        <w:rPr>
          <w:rFonts w:ascii="Times New Roman" w:hAnsi="Times New Roman" w:cs="Times New Roman"/>
        </w:rPr>
        <w:t>.</w:t>
      </w:r>
    </w:p>
    <w:p w:rsidR="00A57D2A" w:rsidRDefault="00A57D2A" w:rsidP="00161BD1">
      <w:pPr>
        <w:spacing w:after="0" w:line="240" w:lineRule="auto"/>
        <w:jc w:val="both"/>
        <w:rPr>
          <w:rFonts w:ascii="Times New Roman" w:hAnsi="Times New Roman" w:cs="Times New Roman"/>
        </w:rPr>
      </w:pPr>
    </w:p>
    <w:p w:rsidR="00A57D2A" w:rsidRPr="00AB29BA" w:rsidRDefault="00A57D2A" w:rsidP="006B7B79">
      <w:pPr>
        <w:pStyle w:val="Opisslike"/>
        <w:spacing w:after="0"/>
        <w:jc w:val="both"/>
        <w:rPr>
          <w:rFonts w:ascii="Times New Roman" w:hAnsi="Times New Roman" w:cs="Times New Roman"/>
          <w:sz w:val="20"/>
          <w:szCs w:val="20"/>
        </w:rPr>
      </w:pPr>
      <w:bookmarkStart w:id="97" w:name="_Toc436402293"/>
      <w:r w:rsidRPr="006B7B79">
        <w:rPr>
          <w:rFonts w:ascii="Times New Roman" w:hAnsi="Times New Roman" w:cs="Times New Roman"/>
          <w:sz w:val="20"/>
          <w:szCs w:val="20"/>
        </w:rPr>
        <w:lastRenderedPageBreak/>
        <w:t>Tabela</w:t>
      </w:r>
      <w:r w:rsidRPr="006B7B79">
        <w:rPr>
          <w:rFonts w:ascii="Times New Roman" w:hAnsi="Times New Roman" w:cs="Times New Roman"/>
        </w:rPr>
        <w:t xml:space="preserve"> </w:t>
      </w:r>
      <w:r w:rsidR="00E520B5" w:rsidRPr="006B7B79">
        <w:rPr>
          <w:rFonts w:ascii="Times New Roman" w:hAnsi="Times New Roman" w:cs="Times New Roman"/>
        </w:rPr>
        <w:fldChar w:fldCharType="begin"/>
      </w:r>
      <w:r w:rsidR="00E520B5" w:rsidRPr="006B7B79">
        <w:rPr>
          <w:rFonts w:ascii="Times New Roman" w:hAnsi="Times New Roman" w:cs="Times New Roman"/>
        </w:rPr>
        <w:instrText xml:space="preserve"> SEQ Tabela \* ARABIC </w:instrText>
      </w:r>
      <w:r w:rsidR="00E520B5" w:rsidRPr="006B7B79">
        <w:rPr>
          <w:rFonts w:ascii="Times New Roman" w:hAnsi="Times New Roman" w:cs="Times New Roman"/>
        </w:rPr>
        <w:fldChar w:fldCharType="separate"/>
      </w:r>
      <w:r w:rsidR="00F50808">
        <w:rPr>
          <w:rFonts w:ascii="Times New Roman" w:hAnsi="Times New Roman" w:cs="Times New Roman"/>
          <w:noProof/>
        </w:rPr>
        <w:t>46</w:t>
      </w:r>
      <w:r w:rsidR="00E520B5" w:rsidRPr="006B7B79">
        <w:rPr>
          <w:rFonts w:ascii="Times New Roman" w:hAnsi="Times New Roman" w:cs="Times New Roman"/>
          <w:noProof/>
        </w:rPr>
        <w:fldChar w:fldCharType="end"/>
      </w:r>
      <w:r w:rsidRPr="006B7B79">
        <w:rPr>
          <w:rFonts w:ascii="Times New Roman" w:hAnsi="Times New Roman" w:cs="Times New Roman"/>
          <w:sz w:val="20"/>
          <w:szCs w:val="20"/>
        </w:rPr>
        <w:t>: Intelektualne usluge</w:t>
      </w:r>
      <w:r w:rsidR="00CA542A" w:rsidRPr="006B7B79">
        <w:rPr>
          <w:rFonts w:ascii="Times New Roman" w:hAnsi="Times New Roman" w:cs="Times New Roman"/>
          <w:sz w:val="20"/>
          <w:szCs w:val="20"/>
        </w:rPr>
        <w:t xml:space="preserve"> po računima Glavne knjige</w:t>
      </w:r>
      <w:r w:rsidRPr="006B7B79">
        <w:rPr>
          <w:rFonts w:ascii="Times New Roman" w:hAnsi="Times New Roman" w:cs="Times New Roman"/>
          <w:sz w:val="20"/>
          <w:szCs w:val="20"/>
        </w:rPr>
        <w:t xml:space="preserve"> </w:t>
      </w:r>
      <w:r w:rsidR="00FF1606" w:rsidRPr="006B7B79">
        <w:rPr>
          <w:rFonts w:ascii="Times New Roman" w:hAnsi="Times New Roman" w:cs="Times New Roman"/>
          <w:sz w:val="20"/>
          <w:szCs w:val="20"/>
        </w:rPr>
        <w:t>u sustavu državne riznice</w:t>
      </w:r>
      <w:r w:rsidRPr="006B7B79">
        <w:rPr>
          <w:rFonts w:ascii="Times New Roman" w:hAnsi="Times New Roman" w:cs="Times New Roman"/>
          <w:sz w:val="20"/>
          <w:szCs w:val="20"/>
        </w:rPr>
        <w:t xml:space="preserve"> za 2014. (u mil.</w:t>
      </w:r>
      <w:r w:rsidR="00AB29BA">
        <w:rPr>
          <w:rFonts w:ascii="Times New Roman" w:hAnsi="Times New Roman" w:cs="Times New Roman"/>
          <w:sz w:val="20"/>
          <w:szCs w:val="20"/>
        </w:rPr>
        <w:t xml:space="preserve"> kuna</w:t>
      </w:r>
      <w:r w:rsidRPr="006B7B79">
        <w:rPr>
          <w:rFonts w:ascii="Times New Roman" w:hAnsi="Times New Roman" w:cs="Times New Roman"/>
          <w:sz w:val="20"/>
          <w:szCs w:val="20"/>
        </w:rPr>
        <w:t>)</w:t>
      </w:r>
      <w:bookmarkEnd w:id="97"/>
    </w:p>
    <w:p w:rsidR="00DF5EA2" w:rsidRDefault="00DF5EA2" w:rsidP="00161BD1">
      <w:pPr>
        <w:spacing w:after="0" w:line="240" w:lineRule="auto"/>
        <w:jc w:val="both"/>
        <w:rPr>
          <w:rFonts w:ascii="Times New Roman" w:hAnsi="Times New Roman" w:cs="Times New Roman"/>
        </w:rPr>
      </w:pPr>
      <w:r w:rsidRPr="00DF5EA2">
        <w:rPr>
          <w:noProof/>
          <w:lang w:eastAsia="hr-HR"/>
        </w:rPr>
        <w:drawing>
          <wp:inline distT="0" distB="0" distL="0" distR="0" wp14:anchorId="4A4220D5" wp14:editId="65F264D7">
            <wp:extent cx="5760720" cy="2678446"/>
            <wp:effectExtent l="0" t="0" r="0" b="7620"/>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2678446"/>
                    </a:xfrm>
                    <a:prstGeom prst="rect">
                      <a:avLst/>
                    </a:prstGeom>
                    <a:noFill/>
                    <a:ln>
                      <a:noFill/>
                    </a:ln>
                  </pic:spPr>
                </pic:pic>
              </a:graphicData>
            </a:graphic>
          </wp:inline>
        </w:drawing>
      </w:r>
    </w:p>
    <w:p w:rsidR="007369B3" w:rsidRPr="00FA7F54" w:rsidRDefault="007369B3" w:rsidP="007369B3">
      <w:pPr>
        <w:pStyle w:val="Naslov2"/>
        <w:rPr>
          <w:rFonts w:ascii="Times New Roman" w:hAnsi="Times New Roman" w:cs="Times New Roman"/>
          <w:color w:val="auto"/>
          <w:sz w:val="22"/>
          <w:szCs w:val="22"/>
        </w:rPr>
      </w:pPr>
      <w:bookmarkStart w:id="98" w:name="_Toc434411195"/>
      <w:bookmarkStart w:id="99" w:name="_Toc436402338"/>
      <w:r w:rsidRPr="00FA7F54">
        <w:rPr>
          <w:rFonts w:ascii="Times New Roman" w:hAnsi="Times New Roman" w:cs="Times New Roman"/>
          <w:color w:val="auto"/>
          <w:sz w:val="22"/>
          <w:szCs w:val="22"/>
        </w:rPr>
        <w:t>RAČUNALNE USLUGE (3238)</w:t>
      </w:r>
      <w:bookmarkEnd w:id="98"/>
      <w:bookmarkEnd w:id="99"/>
    </w:p>
    <w:p w:rsidR="007369B3" w:rsidRPr="00FA7F54" w:rsidRDefault="007369B3" w:rsidP="007369B3">
      <w:pPr>
        <w:spacing w:line="240" w:lineRule="auto"/>
        <w:jc w:val="both"/>
        <w:rPr>
          <w:rFonts w:ascii="Times New Roman" w:hAnsi="Times New Roman" w:cs="Times New Roman"/>
        </w:rPr>
      </w:pPr>
      <w:r w:rsidRPr="00FA7F54">
        <w:rPr>
          <w:rFonts w:ascii="Times New Roman" w:hAnsi="Times New Roman" w:cs="Times New Roman"/>
        </w:rPr>
        <w:t xml:space="preserve">Prema iskazanim podacima u financijskim izvještajima rashodi za računalne usluge u 2013. godini iznosili su 466,0 mil. kuna, a u 2014. godini 434,7 mil. kuna. U državnom proračunu za 2015. godinu planirano je 520,0 mil. kuna navedenih rashoda od čega se 478,6 mil. </w:t>
      </w:r>
      <w:r w:rsidR="00AB29BA">
        <w:rPr>
          <w:rFonts w:ascii="Times New Roman" w:hAnsi="Times New Roman" w:cs="Times New Roman"/>
        </w:rPr>
        <w:t xml:space="preserve">kuna </w:t>
      </w:r>
      <w:r w:rsidRPr="00FA7F54">
        <w:rPr>
          <w:rFonts w:ascii="Times New Roman" w:hAnsi="Times New Roman" w:cs="Times New Roman"/>
        </w:rPr>
        <w:t>financira iz izvora u limitu.</w:t>
      </w:r>
    </w:p>
    <w:p w:rsidR="007369B3" w:rsidRPr="00FA7F54" w:rsidRDefault="007369B3" w:rsidP="009A02D9">
      <w:pPr>
        <w:spacing w:line="240" w:lineRule="auto"/>
        <w:jc w:val="both"/>
        <w:rPr>
          <w:rFonts w:ascii="Times New Roman" w:hAnsi="Times New Roman" w:cs="Times New Roman"/>
        </w:rPr>
      </w:pPr>
      <w:r w:rsidRPr="00FA7F54">
        <w:rPr>
          <w:rFonts w:ascii="Times New Roman" w:hAnsi="Times New Roman" w:cs="Times New Roman"/>
        </w:rPr>
        <w:t>Najveći dio rashoda odnos</w:t>
      </w:r>
      <w:r w:rsidR="0091233A">
        <w:rPr>
          <w:rFonts w:ascii="Times New Roman" w:hAnsi="Times New Roman" w:cs="Times New Roman"/>
        </w:rPr>
        <w:t>i se na tijela izvršne vlasti</w:t>
      </w:r>
      <w:r w:rsidR="00D0542E">
        <w:rPr>
          <w:rFonts w:ascii="Times New Roman" w:hAnsi="Times New Roman" w:cs="Times New Roman"/>
        </w:rPr>
        <w:t xml:space="preserve"> (Porezna uprava, Carinska uprava, Ministarstvo pravosuđa, MUP)</w:t>
      </w:r>
      <w:r w:rsidR="009A02D9">
        <w:rPr>
          <w:rFonts w:ascii="Times New Roman" w:hAnsi="Times New Roman" w:cs="Times New Roman"/>
        </w:rPr>
        <w:t xml:space="preserve">, agencije i ostala državna tijela koji se </w:t>
      </w:r>
      <w:r w:rsidR="007033EE">
        <w:rPr>
          <w:rFonts w:ascii="Times New Roman" w:hAnsi="Times New Roman" w:cs="Times New Roman"/>
        </w:rPr>
        <w:t>gotovo u cijelosti</w:t>
      </w:r>
      <w:r w:rsidR="009A02D9">
        <w:rPr>
          <w:rFonts w:ascii="Times New Roman" w:hAnsi="Times New Roman" w:cs="Times New Roman"/>
        </w:rPr>
        <w:t xml:space="preserve"> financiraju iz državnog proračuna.</w:t>
      </w:r>
    </w:p>
    <w:p w:rsidR="009835A2" w:rsidRPr="00AB29BA" w:rsidRDefault="009835A2" w:rsidP="009167C4">
      <w:pPr>
        <w:pStyle w:val="Opisslike"/>
        <w:spacing w:after="0"/>
        <w:jc w:val="both"/>
        <w:rPr>
          <w:rFonts w:ascii="Times New Roman" w:hAnsi="Times New Roman" w:cs="Times New Roman"/>
          <w:sz w:val="20"/>
          <w:szCs w:val="20"/>
        </w:rPr>
      </w:pPr>
      <w:bookmarkStart w:id="100" w:name="_Toc436402294"/>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47</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9167C4" w:rsidRPr="006B7B79">
        <w:rPr>
          <w:rFonts w:ascii="Times New Roman" w:hAnsi="Times New Roman" w:cs="Times New Roman"/>
          <w:sz w:val="20"/>
          <w:szCs w:val="20"/>
        </w:rPr>
        <w:t xml:space="preserve"> Računalne usluge prema podacima iskazanim u financijskim izvještajima proračunskih i izvanproračunskih korisnika za 2013. i 2014. godinu te planu Državnog proračuna za 2015. godinu</w:t>
      </w:r>
      <w:bookmarkEnd w:id="100"/>
    </w:p>
    <w:p w:rsidR="007369B3" w:rsidRPr="00FA7F54" w:rsidRDefault="00C34CC1" w:rsidP="00C83540">
      <w:pPr>
        <w:spacing w:line="240" w:lineRule="auto"/>
        <w:rPr>
          <w:rFonts w:ascii="Times New Roman" w:hAnsi="Times New Roman" w:cs="Times New Roman"/>
        </w:rPr>
      </w:pPr>
      <w:r w:rsidRPr="00C34CC1">
        <w:rPr>
          <w:noProof/>
          <w:lang w:eastAsia="hr-HR"/>
        </w:rPr>
        <w:drawing>
          <wp:inline distT="0" distB="0" distL="0" distR="0" wp14:anchorId="1F1387AA" wp14:editId="4B484C64">
            <wp:extent cx="5760720" cy="3228826"/>
            <wp:effectExtent l="0" t="0" r="0" b="0"/>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3228826"/>
                    </a:xfrm>
                    <a:prstGeom prst="rect">
                      <a:avLst/>
                    </a:prstGeom>
                    <a:noFill/>
                    <a:ln>
                      <a:noFill/>
                    </a:ln>
                  </pic:spPr>
                </pic:pic>
              </a:graphicData>
            </a:graphic>
          </wp:inline>
        </w:drawing>
      </w:r>
    </w:p>
    <w:p w:rsidR="007B4701" w:rsidRDefault="00FE2D8F" w:rsidP="006B7B79">
      <w:pPr>
        <w:spacing w:line="240" w:lineRule="auto"/>
        <w:jc w:val="both"/>
        <w:rPr>
          <w:rFonts w:ascii="Times New Roman" w:hAnsi="Times New Roman" w:cs="Times New Roman"/>
        </w:rPr>
      </w:pPr>
      <w:r w:rsidRPr="00FA7F54">
        <w:rPr>
          <w:rFonts w:ascii="Times New Roman" w:hAnsi="Times New Roman" w:cs="Times New Roman"/>
        </w:rPr>
        <w:t xml:space="preserve">Navedeni rashodi uključuju usluge ažuriranja računalnih baza, usluge razvoja </w:t>
      </w:r>
      <w:proofErr w:type="spellStart"/>
      <w:r w:rsidRPr="00FA7F54">
        <w:rPr>
          <w:rFonts w:ascii="Times New Roman" w:hAnsi="Times New Roman" w:cs="Times New Roman"/>
        </w:rPr>
        <w:t>software</w:t>
      </w:r>
      <w:proofErr w:type="spellEnd"/>
      <w:r w:rsidRPr="00FA7F54">
        <w:rPr>
          <w:rFonts w:ascii="Times New Roman" w:hAnsi="Times New Roman" w:cs="Times New Roman"/>
        </w:rPr>
        <w:t>-a i ostale računalne usluge.</w:t>
      </w:r>
    </w:p>
    <w:p w:rsidR="00D035CE" w:rsidRPr="00FA7F54" w:rsidRDefault="00D035CE" w:rsidP="00AB2511">
      <w:pPr>
        <w:spacing w:line="240" w:lineRule="auto"/>
        <w:rPr>
          <w:rFonts w:ascii="Times New Roman" w:hAnsi="Times New Roman" w:cs="Times New Roman"/>
        </w:rPr>
      </w:pPr>
    </w:p>
    <w:p w:rsidR="009835A2" w:rsidRPr="00AB29BA" w:rsidRDefault="009835A2" w:rsidP="006B7B79">
      <w:pPr>
        <w:pStyle w:val="Opisslike"/>
        <w:spacing w:after="0"/>
        <w:jc w:val="both"/>
        <w:rPr>
          <w:rFonts w:ascii="Times New Roman" w:hAnsi="Times New Roman" w:cs="Times New Roman"/>
          <w:sz w:val="20"/>
          <w:szCs w:val="20"/>
        </w:rPr>
      </w:pPr>
      <w:bookmarkStart w:id="101" w:name="_Toc436402295"/>
      <w:r w:rsidRPr="006B7B79">
        <w:rPr>
          <w:rFonts w:ascii="Times New Roman" w:hAnsi="Times New Roman" w:cs="Times New Roman"/>
          <w:sz w:val="20"/>
          <w:szCs w:val="20"/>
        </w:rPr>
        <w:lastRenderedPageBreak/>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48</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FC238D" w:rsidRPr="006B7B79">
        <w:rPr>
          <w:rFonts w:ascii="Times New Roman" w:hAnsi="Times New Roman" w:cs="Times New Roman"/>
          <w:sz w:val="20"/>
          <w:szCs w:val="20"/>
        </w:rPr>
        <w:t xml:space="preserve"> Računalne usluge  prema podacima iskazanim u državnom proračunu – izvršenje za 2014. (u mil.</w:t>
      </w:r>
      <w:r w:rsidR="00AB29BA">
        <w:rPr>
          <w:rFonts w:ascii="Times New Roman" w:hAnsi="Times New Roman" w:cs="Times New Roman"/>
          <w:sz w:val="20"/>
          <w:szCs w:val="20"/>
        </w:rPr>
        <w:t xml:space="preserve"> kuna</w:t>
      </w:r>
      <w:r w:rsidR="00FC238D" w:rsidRPr="006B7B79">
        <w:rPr>
          <w:rFonts w:ascii="Times New Roman" w:hAnsi="Times New Roman" w:cs="Times New Roman"/>
          <w:sz w:val="20"/>
          <w:szCs w:val="20"/>
        </w:rPr>
        <w:t>)</w:t>
      </w:r>
      <w:bookmarkEnd w:id="101"/>
    </w:p>
    <w:tbl>
      <w:tblPr>
        <w:tblW w:w="5415" w:type="dxa"/>
        <w:jc w:val="center"/>
        <w:tblInd w:w="93" w:type="dxa"/>
        <w:tblLook w:val="04A0" w:firstRow="1" w:lastRow="0" w:firstColumn="1" w:lastColumn="0" w:noHBand="0" w:noVBand="1"/>
      </w:tblPr>
      <w:tblGrid>
        <w:gridCol w:w="1360"/>
        <w:gridCol w:w="1026"/>
        <w:gridCol w:w="960"/>
        <w:gridCol w:w="1109"/>
        <w:gridCol w:w="960"/>
      </w:tblGrid>
      <w:tr w:rsidR="007B4701" w:rsidRPr="009F4CFF" w:rsidTr="00AB29BA">
        <w:trPr>
          <w:trHeight w:val="1110"/>
          <w:jc w:val="center"/>
        </w:trPr>
        <w:tc>
          <w:tcPr>
            <w:tcW w:w="1360"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7B4701" w:rsidRPr="009F4CFF" w:rsidRDefault="007B4701" w:rsidP="00AB29BA">
            <w:pPr>
              <w:spacing w:after="0" w:line="240" w:lineRule="auto"/>
              <w:jc w:val="center"/>
              <w:rPr>
                <w:rFonts w:ascii="Arial" w:eastAsia="Times New Roman" w:hAnsi="Arial" w:cs="Arial"/>
                <w:b/>
                <w:bCs/>
                <w:sz w:val="16"/>
                <w:szCs w:val="16"/>
                <w:lang w:eastAsia="hr-HR"/>
              </w:rPr>
            </w:pPr>
            <w:r w:rsidRPr="009F4CFF">
              <w:rPr>
                <w:rFonts w:ascii="Arial" w:eastAsia="Times New Roman" w:hAnsi="Arial" w:cs="Arial"/>
                <w:b/>
                <w:bCs/>
                <w:sz w:val="16"/>
                <w:szCs w:val="16"/>
                <w:lang w:eastAsia="hr-HR"/>
              </w:rPr>
              <w:t>Izvršenje 2014.</w:t>
            </w:r>
          </w:p>
        </w:tc>
        <w:tc>
          <w:tcPr>
            <w:tcW w:w="1026" w:type="dxa"/>
            <w:tcBorders>
              <w:top w:val="single" w:sz="4" w:space="0" w:color="000080"/>
              <w:left w:val="nil"/>
              <w:bottom w:val="single" w:sz="4" w:space="0" w:color="000080"/>
              <w:right w:val="single" w:sz="4" w:space="0" w:color="000080"/>
            </w:tcBorders>
            <w:shd w:val="clear" w:color="000000" w:fill="DCE6F1"/>
            <w:vAlign w:val="center"/>
            <w:hideMark/>
          </w:tcPr>
          <w:p w:rsidR="007B4701" w:rsidRPr="009F4CFF" w:rsidRDefault="007B4701" w:rsidP="00AB29BA">
            <w:pPr>
              <w:spacing w:after="0" w:line="240" w:lineRule="auto"/>
              <w:jc w:val="center"/>
              <w:rPr>
                <w:rFonts w:ascii="Arial" w:eastAsia="Times New Roman" w:hAnsi="Arial" w:cs="Arial"/>
                <w:b/>
                <w:color w:val="000000"/>
                <w:sz w:val="16"/>
                <w:szCs w:val="16"/>
                <w:lang w:eastAsia="hr-HR"/>
              </w:rPr>
            </w:pPr>
            <w:r w:rsidRPr="009F4CFF">
              <w:rPr>
                <w:rFonts w:ascii="Arial" w:eastAsia="Times New Roman" w:hAnsi="Arial" w:cs="Arial"/>
                <w:b/>
                <w:color w:val="000000"/>
                <w:sz w:val="16"/>
                <w:szCs w:val="16"/>
                <w:lang w:eastAsia="hr-HR"/>
              </w:rPr>
              <w:t>Računalne usluge</w:t>
            </w:r>
          </w:p>
        </w:tc>
        <w:tc>
          <w:tcPr>
            <w:tcW w:w="960" w:type="dxa"/>
            <w:tcBorders>
              <w:top w:val="single" w:sz="4" w:space="0" w:color="000080"/>
              <w:left w:val="nil"/>
              <w:bottom w:val="single" w:sz="4" w:space="0" w:color="000080"/>
              <w:right w:val="single" w:sz="4" w:space="0" w:color="000080"/>
            </w:tcBorders>
            <w:shd w:val="clear" w:color="000000" w:fill="DCE6F1"/>
            <w:vAlign w:val="center"/>
            <w:hideMark/>
          </w:tcPr>
          <w:p w:rsidR="007B4701" w:rsidRPr="009F4CFF" w:rsidRDefault="007B4701" w:rsidP="00AB29BA">
            <w:pPr>
              <w:spacing w:after="0" w:line="240" w:lineRule="auto"/>
              <w:jc w:val="center"/>
              <w:rPr>
                <w:rFonts w:ascii="Arial" w:eastAsia="Times New Roman" w:hAnsi="Arial" w:cs="Arial"/>
                <w:color w:val="000000"/>
                <w:sz w:val="16"/>
                <w:szCs w:val="16"/>
                <w:lang w:eastAsia="hr-HR"/>
              </w:rPr>
            </w:pPr>
            <w:r w:rsidRPr="009F4CFF">
              <w:rPr>
                <w:rFonts w:ascii="Arial" w:eastAsia="Times New Roman" w:hAnsi="Arial" w:cs="Arial"/>
                <w:color w:val="000000"/>
                <w:sz w:val="16"/>
                <w:szCs w:val="16"/>
                <w:lang w:eastAsia="hr-HR"/>
              </w:rPr>
              <w:t>Usluge ažuriranja računalnih baza</w:t>
            </w:r>
          </w:p>
        </w:tc>
        <w:tc>
          <w:tcPr>
            <w:tcW w:w="1109" w:type="dxa"/>
            <w:tcBorders>
              <w:top w:val="single" w:sz="4" w:space="0" w:color="000080"/>
              <w:left w:val="nil"/>
              <w:bottom w:val="single" w:sz="4" w:space="0" w:color="000080"/>
              <w:right w:val="single" w:sz="4" w:space="0" w:color="000080"/>
            </w:tcBorders>
            <w:shd w:val="clear" w:color="000000" w:fill="DCE6F1"/>
            <w:vAlign w:val="center"/>
            <w:hideMark/>
          </w:tcPr>
          <w:p w:rsidR="007B4701" w:rsidRPr="009F4CFF" w:rsidRDefault="007B4701" w:rsidP="00AB29BA">
            <w:pPr>
              <w:spacing w:after="0" w:line="240" w:lineRule="auto"/>
              <w:jc w:val="center"/>
              <w:rPr>
                <w:rFonts w:ascii="Arial" w:eastAsia="Times New Roman" w:hAnsi="Arial" w:cs="Arial"/>
                <w:color w:val="000000"/>
                <w:sz w:val="16"/>
                <w:szCs w:val="16"/>
                <w:lang w:eastAsia="hr-HR"/>
              </w:rPr>
            </w:pPr>
            <w:r w:rsidRPr="009F4CFF">
              <w:rPr>
                <w:rFonts w:ascii="Arial" w:eastAsia="Times New Roman" w:hAnsi="Arial" w:cs="Arial"/>
                <w:color w:val="000000"/>
                <w:sz w:val="16"/>
                <w:szCs w:val="16"/>
                <w:lang w:eastAsia="hr-HR"/>
              </w:rPr>
              <w:t xml:space="preserve">Usluge razvoja </w:t>
            </w:r>
            <w:proofErr w:type="spellStart"/>
            <w:r w:rsidRPr="009F4CFF">
              <w:rPr>
                <w:rFonts w:ascii="Arial" w:eastAsia="Times New Roman" w:hAnsi="Arial" w:cs="Arial"/>
                <w:color w:val="000000"/>
                <w:sz w:val="16"/>
                <w:szCs w:val="16"/>
                <w:lang w:eastAsia="hr-HR"/>
              </w:rPr>
              <w:t>software</w:t>
            </w:r>
            <w:proofErr w:type="spellEnd"/>
            <w:r w:rsidRPr="009F4CFF">
              <w:rPr>
                <w:rFonts w:ascii="Arial" w:eastAsia="Times New Roman" w:hAnsi="Arial" w:cs="Arial"/>
                <w:color w:val="000000"/>
                <w:sz w:val="16"/>
                <w:szCs w:val="16"/>
                <w:lang w:eastAsia="hr-HR"/>
              </w:rPr>
              <w:t>-a</w:t>
            </w:r>
          </w:p>
        </w:tc>
        <w:tc>
          <w:tcPr>
            <w:tcW w:w="960" w:type="dxa"/>
            <w:tcBorders>
              <w:top w:val="single" w:sz="4" w:space="0" w:color="000080"/>
              <w:left w:val="nil"/>
              <w:bottom w:val="single" w:sz="4" w:space="0" w:color="000080"/>
              <w:right w:val="single" w:sz="4" w:space="0" w:color="000080"/>
            </w:tcBorders>
            <w:shd w:val="clear" w:color="000000" w:fill="DCE6F1"/>
            <w:vAlign w:val="center"/>
            <w:hideMark/>
          </w:tcPr>
          <w:p w:rsidR="007B4701" w:rsidRPr="009F4CFF" w:rsidRDefault="007B4701" w:rsidP="00AB29BA">
            <w:pPr>
              <w:spacing w:after="0" w:line="240" w:lineRule="auto"/>
              <w:jc w:val="center"/>
              <w:rPr>
                <w:rFonts w:ascii="Arial" w:eastAsia="Times New Roman" w:hAnsi="Arial" w:cs="Arial"/>
                <w:color w:val="000000"/>
                <w:sz w:val="16"/>
                <w:szCs w:val="16"/>
                <w:lang w:eastAsia="hr-HR"/>
              </w:rPr>
            </w:pPr>
            <w:r w:rsidRPr="009F4CFF">
              <w:rPr>
                <w:rFonts w:ascii="Arial" w:eastAsia="Times New Roman" w:hAnsi="Arial" w:cs="Arial"/>
                <w:color w:val="000000"/>
                <w:sz w:val="16"/>
                <w:szCs w:val="16"/>
                <w:lang w:eastAsia="hr-HR"/>
              </w:rPr>
              <w:t>Ostale računalne usluge</w:t>
            </w:r>
          </w:p>
        </w:tc>
      </w:tr>
      <w:tr w:rsidR="007B4701" w:rsidRPr="009F4CFF" w:rsidTr="00AB29BA">
        <w:trPr>
          <w:trHeight w:val="300"/>
          <w:jc w:val="center"/>
        </w:trPr>
        <w:tc>
          <w:tcPr>
            <w:tcW w:w="1360" w:type="dxa"/>
            <w:tcBorders>
              <w:top w:val="nil"/>
              <w:left w:val="single" w:sz="4" w:space="0" w:color="000080"/>
              <w:bottom w:val="single" w:sz="4" w:space="0" w:color="000080"/>
              <w:right w:val="single" w:sz="4" w:space="0" w:color="000080"/>
            </w:tcBorders>
            <w:shd w:val="clear" w:color="000000" w:fill="DCE6F1"/>
            <w:noWrap/>
            <w:vAlign w:val="center"/>
            <w:hideMark/>
          </w:tcPr>
          <w:p w:rsidR="007B4701" w:rsidRPr="009F4CFF" w:rsidRDefault="007B4701" w:rsidP="009F4CFF">
            <w:pPr>
              <w:spacing w:after="0" w:line="240" w:lineRule="auto"/>
              <w:ind w:firstLineChars="200" w:firstLine="320"/>
              <w:rPr>
                <w:rFonts w:ascii="Arial" w:eastAsia="Times New Roman" w:hAnsi="Arial" w:cs="Arial"/>
                <w:sz w:val="16"/>
                <w:szCs w:val="16"/>
                <w:lang w:eastAsia="hr-HR"/>
              </w:rPr>
            </w:pPr>
            <w:r w:rsidRPr="009F4CFF">
              <w:rPr>
                <w:rFonts w:ascii="Arial" w:eastAsia="Times New Roman" w:hAnsi="Arial" w:cs="Arial"/>
                <w:sz w:val="16"/>
                <w:szCs w:val="16"/>
                <w:lang w:eastAsia="hr-HR"/>
              </w:rPr>
              <w:t>- Ukupno</w:t>
            </w:r>
          </w:p>
        </w:tc>
        <w:tc>
          <w:tcPr>
            <w:tcW w:w="1026" w:type="dxa"/>
            <w:tcBorders>
              <w:top w:val="nil"/>
              <w:left w:val="nil"/>
              <w:bottom w:val="single" w:sz="4" w:space="0" w:color="000080"/>
              <w:right w:val="single" w:sz="4" w:space="0" w:color="000080"/>
            </w:tcBorders>
            <w:shd w:val="clear" w:color="000000" w:fill="DCE6F1"/>
            <w:noWrap/>
            <w:vAlign w:val="center"/>
            <w:hideMark/>
          </w:tcPr>
          <w:p w:rsidR="007B4701" w:rsidRPr="009F4CFF" w:rsidRDefault="007B4701" w:rsidP="007B4701">
            <w:pPr>
              <w:spacing w:after="0" w:line="240" w:lineRule="auto"/>
              <w:jc w:val="right"/>
              <w:rPr>
                <w:rFonts w:ascii="Arial" w:eastAsia="Times New Roman" w:hAnsi="Arial" w:cs="Arial"/>
                <w:b/>
                <w:color w:val="000000"/>
                <w:sz w:val="16"/>
                <w:szCs w:val="16"/>
                <w:lang w:eastAsia="hr-HR"/>
              </w:rPr>
            </w:pPr>
            <w:r w:rsidRPr="009F4CFF">
              <w:rPr>
                <w:rFonts w:ascii="Arial" w:eastAsia="Times New Roman" w:hAnsi="Arial" w:cs="Arial"/>
                <w:b/>
                <w:color w:val="000000"/>
                <w:sz w:val="16"/>
                <w:szCs w:val="16"/>
                <w:lang w:eastAsia="hr-HR"/>
              </w:rPr>
              <w:t>581,773</w:t>
            </w:r>
          </w:p>
        </w:tc>
        <w:tc>
          <w:tcPr>
            <w:tcW w:w="960" w:type="dxa"/>
            <w:tcBorders>
              <w:top w:val="nil"/>
              <w:left w:val="nil"/>
              <w:bottom w:val="single" w:sz="4" w:space="0" w:color="000080"/>
              <w:right w:val="single" w:sz="4" w:space="0" w:color="000080"/>
            </w:tcBorders>
            <w:shd w:val="clear" w:color="000000" w:fill="DCE6F1"/>
            <w:noWrap/>
            <w:vAlign w:val="center"/>
            <w:hideMark/>
          </w:tcPr>
          <w:p w:rsidR="007B4701" w:rsidRPr="009F4CFF" w:rsidRDefault="007B4701" w:rsidP="007B4701">
            <w:pPr>
              <w:spacing w:after="0" w:line="240" w:lineRule="auto"/>
              <w:jc w:val="right"/>
              <w:rPr>
                <w:rFonts w:ascii="Arial" w:eastAsia="Times New Roman" w:hAnsi="Arial" w:cs="Arial"/>
                <w:color w:val="000000"/>
                <w:sz w:val="16"/>
                <w:szCs w:val="16"/>
                <w:lang w:eastAsia="hr-HR"/>
              </w:rPr>
            </w:pPr>
            <w:r w:rsidRPr="009F4CFF">
              <w:rPr>
                <w:rFonts w:ascii="Arial" w:eastAsia="Times New Roman" w:hAnsi="Arial" w:cs="Arial"/>
                <w:color w:val="000000"/>
                <w:sz w:val="16"/>
                <w:szCs w:val="16"/>
                <w:lang w:eastAsia="hr-HR"/>
              </w:rPr>
              <w:t>49,547</w:t>
            </w:r>
          </w:p>
        </w:tc>
        <w:tc>
          <w:tcPr>
            <w:tcW w:w="1109" w:type="dxa"/>
            <w:tcBorders>
              <w:top w:val="nil"/>
              <w:left w:val="nil"/>
              <w:bottom w:val="single" w:sz="4" w:space="0" w:color="000080"/>
              <w:right w:val="single" w:sz="4" w:space="0" w:color="000080"/>
            </w:tcBorders>
            <w:shd w:val="clear" w:color="000000" w:fill="DCE6F1"/>
            <w:noWrap/>
            <w:vAlign w:val="center"/>
            <w:hideMark/>
          </w:tcPr>
          <w:p w:rsidR="007B4701" w:rsidRPr="009F4CFF" w:rsidRDefault="007B4701" w:rsidP="007B4701">
            <w:pPr>
              <w:spacing w:after="0" w:line="240" w:lineRule="auto"/>
              <w:jc w:val="right"/>
              <w:rPr>
                <w:rFonts w:ascii="Arial" w:eastAsia="Times New Roman" w:hAnsi="Arial" w:cs="Arial"/>
                <w:color w:val="000000"/>
                <w:sz w:val="16"/>
                <w:szCs w:val="16"/>
                <w:lang w:eastAsia="hr-HR"/>
              </w:rPr>
            </w:pPr>
            <w:r w:rsidRPr="009F4CFF">
              <w:rPr>
                <w:rFonts w:ascii="Arial" w:eastAsia="Times New Roman" w:hAnsi="Arial" w:cs="Arial"/>
                <w:color w:val="000000"/>
                <w:sz w:val="16"/>
                <w:szCs w:val="16"/>
                <w:lang w:eastAsia="hr-HR"/>
              </w:rPr>
              <w:t>95,597</w:t>
            </w:r>
          </w:p>
        </w:tc>
        <w:tc>
          <w:tcPr>
            <w:tcW w:w="960" w:type="dxa"/>
            <w:tcBorders>
              <w:top w:val="nil"/>
              <w:left w:val="nil"/>
              <w:bottom w:val="single" w:sz="4" w:space="0" w:color="000080"/>
              <w:right w:val="single" w:sz="4" w:space="0" w:color="000080"/>
            </w:tcBorders>
            <w:shd w:val="clear" w:color="000000" w:fill="DCE6F1"/>
            <w:noWrap/>
            <w:vAlign w:val="center"/>
            <w:hideMark/>
          </w:tcPr>
          <w:p w:rsidR="007B4701" w:rsidRPr="009F4CFF" w:rsidRDefault="007B4701" w:rsidP="007B4701">
            <w:pPr>
              <w:spacing w:after="0" w:line="240" w:lineRule="auto"/>
              <w:jc w:val="right"/>
              <w:rPr>
                <w:rFonts w:ascii="Arial" w:eastAsia="Times New Roman" w:hAnsi="Arial" w:cs="Arial"/>
                <w:color w:val="000000"/>
                <w:sz w:val="16"/>
                <w:szCs w:val="16"/>
                <w:lang w:eastAsia="hr-HR"/>
              </w:rPr>
            </w:pPr>
            <w:r w:rsidRPr="009F4CFF">
              <w:rPr>
                <w:rFonts w:ascii="Arial" w:eastAsia="Times New Roman" w:hAnsi="Arial" w:cs="Arial"/>
                <w:color w:val="000000"/>
                <w:sz w:val="16"/>
                <w:szCs w:val="16"/>
                <w:lang w:eastAsia="hr-HR"/>
              </w:rPr>
              <w:t>436,629</w:t>
            </w:r>
          </w:p>
        </w:tc>
      </w:tr>
      <w:tr w:rsidR="007B4701" w:rsidRPr="009F4CFF" w:rsidTr="00AB29BA">
        <w:trPr>
          <w:trHeight w:val="300"/>
          <w:jc w:val="center"/>
        </w:trPr>
        <w:tc>
          <w:tcPr>
            <w:tcW w:w="1360" w:type="dxa"/>
            <w:tcBorders>
              <w:top w:val="nil"/>
              <w:left w:val="single" w:sz="4" w:space="0" w:color="000080"/>
              <w:bottom w:val="single" w:sz="4" w:space="0" w:color="000080"/>
              <w:right w:val="single" w:sz="4" w:space="0" w:color="000080"/>
            </w:tcBorders>
            <w:shd w:val="clear" w:color="auto" w:fill="auto"/>
            <w:noWrap/>
            <w:vAlign w:val="center"/>
            <w:hideMark/>
          </w:tcPr>
          <w:p w:rsidR="007B4701" w:rsidRPr="009F4CFF" w:rsidRDefault="007B4701" w:rsidP="009F4CFF">
            <w:pPr>
              <w:spacing w:after="0" w:line="240" w:lineRule="auto"/>
              <w:ind w:firstLineChars="200" w:firstLine="320"/>
              <w:rPr>
                <w:rFonts w:ascii="Arial" w:eastAsia="Times New Roman" w:hAnsi="Arial" w:cs="Arial"/>
                <w:sz w:val="16"/>
                <w:szCs w:val="16"/>
                <w:lang w:eastAsia="hr-HR"/>
              </w:rPr>
            </w:pPr>
            <w:r w:rsidRPr="009F4CFF">
              <w:rPr>
                <w:rFonts w:ascii="Arial" w:eastAsia="Times New Roman" w:hAnsi="Arial" w:cs="Arial"/>
                <w:sz w:val="16"/>
                <w:szCs w:val="16"/>
                <w:lang w:eastAsia="hr-HR"/>
              </w:rPr>
              <w:t>- 1+2+8</w:t>
            </w:r>
          </w:p>
        </w:tc>
        <w:tc>
          <w:tcPr>
            <w:tcW w:w="1026" w:type="dxa"/>
            <w:tcBorders>
              <w:top w:val="nil"/>
              <w:left w:val="nil"/>
              <w:bottom w:val="single" w:sz="4" w:space="0" w:color="000080"/>
              <w:right w:val="single" w:sz="4" w:space="0" w:color="000080"/>
            </w:tcBorders>
            <w:shd w:val="clear" w:color="auto" w:fill="auto"/>
            <w:noWrap/>
            <w:vAlign w:val="center"/>
            <w:hideMark/>
          </w:tcPr>
          <w:p w:rsidR="007B4701" w:rsidRPr="009F4CFF" w:rsidRDefault="007B4701" w:rsidP="007B4701">
            <w:pPr>
              <w:spacing w:after="0" w:line="240" w:lineRule="auto"/>
              <w:jc w:val="right"/>
              <w:rPr>
                <w:rFonts w:ascii="Arial" w:eastAsia="Times New Roman" w:hAnsi="Arial" w:cs="Arial"/>
                <w:b/>
                <w:color w:val="000000"/>
                <w:sz w:val="16"/>
                <w:szCs w:val="16"/>
                <w:lang w:eastAsia="hr-HR"/>
              </w:rPr>
            </w:pPr>
            <w:r w:rsidRPr="009F4CFF">
              <w:rPr>
                <w:rFonts w:ascii="Arial" w:eastAsia="Times New Roman" w:hAnsi="Arial" w:cs="Arial"/>
                <w:b/>
                <w:color w:val="000000"/>
                <w:sz w:val="16"/>
                <w:szCs w:val="16"/>
                <w:lang w:eastAsia="hr-HR"/>
              </w:rPr>
              <w:t>548,783</w:t>
            </w:r>
          </w:p>
        </w:tc>
        <w:tc>
          <w:tcPr>
            <w:tcW w:w="960" w:type="dxa"/>
            <w:tcBorders>
              <w:top w:val="nil"/>
              <w:left w:val="nil"/>
              <w:bottom w:val="single" w:sz="4" w:space="0" w:color="000080"/>
              <w:right w:val="single" w:sz="4" w:space="0" w:color="000080"/>
            </w:tcBorders>
            <w:shd w:val="clear" w:color="auto" w:fill="auto"/>
            <w:noWrap/>
            <w:vAlign w:val="center"/>
            <w:hideMark/>
          </w:tcPr>
          <w:p w:rsidR="007B4701" w:rsidRPr="009F4CFF" w:rsidRDefault="007B4701" w:rsidP="007B4701">
            <w:pPr>
              <w:spacing w:after="0" w:line="240" w:lineRule="auto"/>
              <w:jc w:val="right"/>
              <w:rPr>
                <w:rFonts w:ascii="Arial" w:eastAsia="Times New Roman" w:hAnsi="Arial" w:cs="Arial"/>
                <w:color w:val="000000"/>
                <w:sz w:val="16"/>
                <w:szCs w:val="16"/>
                <w:lang w:eastAsia="hr-HR"/>
              </w:rPr>
            </w:pPr>
            <w:r w:rsidRPr="009F4CFF">
              <w:rPr>
                <w:rFonts w:ascii="Arial" w:eastAsia="Times New Roman" w:hAnsi="Arial" w:cs="Arial"/>
                <w:color w:val="000000"/>
                <w:sz w:val="16"/>
                <w:szCs w:val="16"/>
                <w:lang w:eastAsia="hr-HR"/>
              </w:rPr>
              <w:t>45,548</w:t>
            </w:r>
          </w:p>
        </w:tc>
        <w:tc>
          <w:tcPr>
            <w:tcW w:w="1109" w:type="dxa"/>
            <w:tcBorders>
              <w:top w:val="nil"/>
              <w:left w:val="nil"/>
              <w:bottom w:val="single" w:sz="4" w:space="0" w:color="000080"/>
              <w:right w:val="single" w:sz="4" w:space="0" w:color="000080"/>
            </w:tcBorders>
            <w:shd w:val="clear" w:color="auto" w:fill="auto"/>
            <w:noWrap/>
            <w:vAlign w:val="center"/>
            <w:hideMark/>
          </w:tcPr>
          <w:p w:rsidR="007B4701" w:rsidRPr="009F4CFF" w:rsidRDefault="007B4701" w:rsidP="007B4701">
            <w:pPr>
              <w:spacing w:after="0" w:line="240" w:lineRule="auto"/>
              <w:jc w:val="right"/>
              <w:rPr>
                <w:rFonts w:ascii="Arial" w:eastAsia="Times New Roman" w:hAnsi="Arial" w:cs="Arial"/>
                <w:color w:val="000000"/>
                <w:sz w:val="16"/>
                <w:szCs w:val="16"/>
                <w:lang w:eastAsia="hr-HR"/>
              </w:rPr>
            </w:pPr>
            <w:r w:rsidRPr="009F4CFF">
              <w:rPr>
                <w:rFonts w:ascii="Arial" w:eastAsia="Times New Roman" w:hAnsi="Arial" w:cs="Arial"/>
                <w:color w:val="000000"/>
                <w:sz w:val="16"/>
                <w:szCs w:val="16"/>
                <w:lang w:eastAsia="hr-HR"/>
              </w:rPr>
              <w:t>94,329</w:t>
            </w:r>
          </w:p>
        </w:tc>
        <w:tc>
          <w:tcPr>
            <w:tcW w:w="960" w:type="dxa"/>
            <w:tcBorders>
              <w:top w:val="nil"/>
              <w:left w:val="nil"/>
              <w:bottom w:val="single" w:sz="4" w:space="0" w:color="000080"/>
              <w:right w:val="single" w:sz="4" w:space="0" w:color="000080"/>
            </w:tcBorders>
            <w:shd w:val="clear" w:color="auto" w:fill="auto"/>
            <w:noWrap/>
            <w:vAlign w:val="center"/>
            <w:hideMark/>
          </w:tcPr>
          <w:p w:rsidR="007B4701" w:rsidRPr="009F4CFF" w:rsidRDefault="007B4701" w:rsidP="007B4701">
            <w:pPr>
              <w:spacing w:after="0" w:line="240" w:lineRule="auto"/>
              <w:jc w:val="right"/>
              <w:rPr>
                <w:rFonts w:ascii="Arial" w:eastAsia="Times New Roman" w:hAnsi="Arial" w:cs="Arial"/>
                <w:color w:val="000000"/>
                <w:sz w:val="16"/>
                <w:szCs w:val="16"/>
                <w:lang w:eastAsia="hr-HR"/>
              </w:rPr>
            </w:pPr>
            <w:r w:rsidRPr="009F4CFF">
              <w:rPr>
                <w:rFonts w:ascii="Arial" w:eastAsia="Times New Roman" w:hAnsi="Arial" w:cs="Arial"/>
                <w:color w:val="000000"/>
                <w:sz w:val="16"/>
                <w:szCs w:val="16"/>
                <w:lang w:eastAsia="hr-HR"/>
              </w:rPr>
              <w:t>408,906</w:t>
            </w:r>
          </w:p>
        </w:tc>
      </w:tr>
      <w:tr w:rsidR="007B4701" w:rsidRPr="009F4CFF" w:rsidTr="00AB29BA">
        <w:trPr>
          <w:trHeight w:val="300"/>
          <w:jc w:val="center"/>
        </w:trPr>
        <w:tc>
          <w:tcPr>
            <w:tcW w:w="1360" w:type="dxa"/>
            <w:tcBorders>
              <w:top w:val="nil"/>
              <w:left w:val="single" w:sz="4" w:space="0" w:color="000080"/>
              <w:bottom w:val="single" w:sz="4" w:space="0" w:color="000080"/>
              <w:right w:val="single" w:sz="4" w:space="0" w:color="000080"/>
            </w:tcBorders>
            <w:shd w:val="clear" w:color="auto" w:fill="auto"/>
            <w:noWrap/>
            <w:vAlign w:val="center"/>
            <w:hideMark/>
          </w:tcPr>
          <w:p w:rsidR="007B4701" w:rsidRPr="009F4CFF" w:rsidRDefault="007B4701" w:rsidP="009F4CFF">
            <w:pPr>
              <w:spacing w:after="0" w:line="240" w:lineRule="auto"/>
              <w:ind w:firstLineChars="200" w:firstLine="320"/>
              <w:rPr>
                <w:rFonts w:ascii="Arial" w:eastAsia="Times New Roman" w:hAnsi="Arial" w:cs="Arial"/>
                <w:sz w:val="16"/>
                <w:szCs w:val="16"/>
                <w:lang w:eastAsia="hr-HR"/>
              </w:rPr>
            </w:pPr>
            <w:r w:rsidRPr="009F4CFF">
              <w:rPr>
                <w:rFonts w:ascii="Arial" w:eastAsia="Times New Roman" w:hAnsi="Arial" w:cs="Arial"/>
                <w:sz w:val="16"/>
                <w:szCs w:val="16"/>
                <w:lang w:eastAsia="hr-HR"/>
              </w:rPr>
              <w:t>- ostali izvori</w:t>
            </w:r>
          </w:p>
        </w:tc>
        <w:tc>
          <w:tcPr>
            <w:tcW w:w="1026" w:type="dxa"/>
            <w:tcBorders>
              <w:top w:val="nil"/>
              <w:left w:val="nil"/>
              <w:bottom w:val="single" w:sz="4" w:space="0" w:color="000080"/>
              <w:right w:val="single" w:sz="4" w:space="0" w:color="000080"/>
            </w:tcBorders>
            <w:shd w:val="clear" w:color="auto" w:fill="auto"/>
            <w:noWrap/>
            <w:vAlign w:val="center"/>
            <w:hideMark/>
          </w:tcPr>
          <w:p w:rsidR="007B4701" w:rsidRPr="009F4CFF" w:rsidRDefault="007B4701" w:rsidP="007B4701">
            <w:pPr>
              <w:spacing w:after="0" w:line="240" w:lineRule="auto"/>
              <w:jc w:val="right"/>
              <w:rPr>
                <w:rFonts w:ascii="Arial" w:eastAsia="Times New Roman" w:hAnsi="Arial" w:cs="Arial"/>
                <w:b/>
                <w:color w:val="000000"/>
                <w:sz w:val="16"/>
                <w:szCs w:val="16"/>
                <w:lang w:eastAsia="hr-HR"/>
              </w:rPr>
            </w:pPr>
            <w:r w:rsidRPr="009F4CFF">
              <w:rPr>
                <w:rFonts w:ascii="Arial" w:eastAsia="Times New Roman" w:hAnsi="Arial" w:cs="Arial"/>
                <w:b/>
                <w:color w:val="000000"/>
                <w:sz w:val="16"/>
                <w:szCs w:val="16"/>
                <w:lang w:eastAsia="hr-HR"/>
              </w:rPr>
              <w:t>32,99</w:t>
            </w:r>
          </w:p>
        </w:tc>
        <w:tc>
          <w:tcPr>
            <w:tcW w:w="960" w:type="dxa"/>
            <w:tcBorders>
              <w:top w:val="nil"/>
              <w:left w:val="nil"/>
              <w:bottom w:val="single" w:sz="4" w:space="0" w:color="000080"/>
              <w:right w:val="single" w:sz="4" w:space="0" w:color="000080"/>
            </w:tcBorders>
            <w:shd w:val="clear" w:color="auto" w:fill="auto"/>
            <w:noWrap/>
            <w:vAlign w:val="center"/>
            <w:hideMark/>
          </w:tcPr>
          <w:p w:rsidR="007B4701" w:rsidRPr="009F4CFF" w:rsidRDefault="007B4701" w:rsidP="007B4701">
            <w:pPr>
              <w:spacing w:after="0" w:line="240" w:lineRule="auto"/>
              <w:jc w:val="right"/>
              <w:rPr>
                <w:rFonts w:ascii="Arial" w:eastAsia="Times New Roman" w:hAnsi="Arial" w:cs="Arial"/>
                <w:color w:val="000000"/>
                <w:sz w:val="16"/>
                <w:szCs w:val="16"/>
                <w:lang w:eastAsia="hr-HR"/>
              </w:rPr>
            </w:pPr>
            <w:r w:rsidRPr="009F4CFF">
              <w:rPr>
                <w:rFonts w:ascii="Arial" w:eastAsia="Times New Roman" w:hAnsi="Arial" w:cs="Arial"/>
                <w:color w:val="000000"/>
                <w:sz w:val="16"/>
                <w:szCs w:val="16"/>
                <w:lang w:eastAsia="hr-HR"/>
              </w:rPr>
              <w:t>3,999</w:t>
            </w:r>
          </w:p>
        </w:tc>
        <w:tc>
          <w:tcPr>
            <w:tcW w:w="1109" w:type="dxa"/>
            <w:tcBorders>
              <w:top w:val="nil"/>
              <w:left w:val="nil"/>
              <w:bottom w:val="single" w:sz="4" w:space="0" w:color="000080"/>
              <w:right w:val="single" w:sz="4" w:space="0" w:color="000080"/>
            </w:tcBorders>
            <w:shd w:val="clear" w:color="auto" w:fill="auto"/>
            <w:noWrap/>
            <w:vAlign w:val="center"/>
            <w:hideMark/>
          </w:tcPr>
          <w:p w:rsidR="007B4701" w:rsidRPr="009F4CFF" w:rsidRDefault="007B4701" w:rsidP="007B4701">
            <w:pPr>
              <w:spacing w:after="0" w:line="240" w:lineRule="auto"/>
              <w:jc w:val="right"/>
              <w:rPr>
                <w:rFonts w:ascii="Arial" w:eastAsia="Times New Roman" w:hAnsi="Arial" w:cs="Arial"/>
                <w:color w:val="000000"/>
                <w:sz w:val="16"/>
                <w:szCs w:val="16"/>
                <w:lang w:eastAsia="hr-HR"/>
              </w:rPr>
            </w:pPr>
            <w:r w:rsidRPr="009F4CFF">
              <w:rPr>
                <w:rFonts w:ascii="Arial" w:eastAsia="Times New Roman" w:hAnsi="Arial" w:cs="Arial"/>
                <w:color w:val="000000"/>
                <w:sz w:val="16"/>
                <w:szCs w:val="16"/>
                <w:lang w:eastAsia="hr-HR"/>
              </w:rPr>
              <w:t>1,269</w:t>
            </w:r>
          </w:p>
        </w:tc>
        <w:tc>
          <w:tcPr>
            <w:tcW w:w="960" w:type="dxa"/>
            <w:tcBorders>
              <w:top w:val="nil"/>
              <w:left w:val="nil"/>
              <w:bottom w:val="single" w:sz="4" w:space="0" w:color="000080"/>
              <w:right w:val="single" w:sz="4" w:space="0" w:color="000080"/>
            </w:tcBorders>
            <w:shd w:val="clear" w:color="auto" w:fill="auto"/>
            <w:noWrap/>
            <w:vAlign w:val="center"/>
            <w:hideMark/>
          </w:tcPr>
          <w:p w:rsidR="007B4701" w:rsidRPr="009F4CFF" w:rsidRDefault="007B4701" w:rsidP="007B4701">
            <w:pPr>
              <w:spacing w:after="0" w:line="240" w:lineRule="auto"/>
              <w:jc w:val="right"/>
              <w:rPr>
                <w:rFonts w:ascii="Arial" w:eastAsia="Times New Roman" w:hAnsi="Arial" w:cs="Arial"/>
                <w:color w:val="000000"/>
                <w:sz w:val="16"/>
                <w:szCs w:val="16"/>
                <w:lang w:eastAsia="hr-HR"/>
              </w:rPr>
            </w:pPr>
            <w:r w:rsidRPr="009F4CFF">
              <w:rPr>
                <w:rFonts w:ascii="Arial" w:eastAsia="Times New Roman" w:hAnsi="Arial" w:cs="Arial"/>
                <w:color w:val="000000"/>
                <w:sz w:val="16"/>
                <w:szCs w:val="16"/>
                <w:lang w:eastAsia="hr-HR"/>
              </w:rPr>
              <w:t>27,723</w:t>
            </w:r>
          </w:p>
        </w:tc>
      </w:tr>
    </w:tbl>
    <w:p w:rsidR="00E8112A" w:rsidRDefault="00E8112A" w:rsidP="00E8112A">
      <w:pPr>
        <w:shd w:val="clear" w:color="auto" w:fill="FFFFFF"/>
        <w:spacing w:after="0" w:line="240" w:lineRule="auto"/>
        <w:ind w:firstLine="360"/>
        <w:jc w:val="both"/>
        <w:rPr>
          <w:rFonts w:ascii="Times New Roman" w:hAnsi="Times New Roman" w:cs="Times New Roman"/>
          <w:u w:val="single"/>
        </w:rPr>
      </w:pPr>
    </w:p>
    <w:p w:rsidR="00E8112A" w:rsidRPr="00E8112A" w:rsidRDefault="00E8112A" w:rsidP="00E8112A">
      <w:pPr>
        <w:shd w:val="clear" w:color="auto" w:fill="FFFFFF"/>
        <w:spacing w:after="0" w:line="240" w:lineRule="auto"/>
        <w:ind w:firstLine="360"/>
        <w:jc w:val="both"/>
        <w:rPr>
          <w:rFonts w:ascii="Times New Roman" w:hAnsi="Times New Roman" w:cs="Times New Roman"/>
          <w:u w:val="single"/>
        </w:rPr>
      </w:pPr>
      <w:r w:rsidRPr="00FA7F54">
        <w:rPr>
          <w:rFonts w:ascii="Times New Roman" w:hAnsi="Times New Roman" w:cs="Times New Roman"/>
          <w:u w:val="single"/>
        </w:rPr>
        <w:t>Mjere za smanjenj</w:t>
      </w:r>
      <w:r>
        <w:rPr>
          <w:rFonts w:ascii="Times New Roman" w:hAnsi="Times New Roman" w:cs="Times New Roman"/>
          <w:u w:val="single"/>
        </w:rPr>
        <w:t>e odnosno optimizaciju rashoda:</w:t>
      </w:r>
    </w:p>
    <w:p w:rsidR="00E8112A" w:rsidRPr="00BF6C52" w:rsidRDefault="00E8112A" w:rsidP="004E3E07">
      <w:pPr>
        <w:pStyle w:val="Odlomakpopisa"/>
        <w:numPr>
          <w:ilvl w:val="0"/>
          <w:numId w:val="29"/>
        </w:numPr>
        <w:spacing w:line="240" w:lineRule="auto"/>
        <w:jc w:val="both"/>
        <w:rPr>
          <w:rFonts w:ascii="Times New Roman" w:hAnsi="Times New Roman" w:cs="Times New Roman"/>
        </w:rPr>
      </w:pPr>
      <w:r w:rsidRPr="007607E2">
        <w:rPr>
          <w:rFonts w:ascii="Times New Roman" w:hAnsi="Times New Roman" w:cs="Times New Roman"/>
        </w:rPr>
        <w:t>U radnoj skupini</w:t>
      </w:r>
      <w:r>
        <w:rPr>
          <w:rFonts w:ascii="Times New Roman" w:hAnsi="Times New Roman" w:cs="Times New Roman"/>
        </w:rPr>
        <w:t xml:space="preserve"> analizirati računalne usluge te</w:t>
      </w:r>
      <w:r w:rsidRPr="007607E2">
        <w:rPr>
          <w:rFonts w:ascii="Times New Roman" w:hAnsi="Times New Roman" w:cs="Times New Roman"/>
        </w:rPr>
        <w:t xml:space="preserve"> prezentirati primjere dobre prakse </w:t>
      </w:r>
      <w:r>
        <w:rPr>
          <w:rFonts w:ascii="Times New Roman" w:hAnsi="Times New Roman" w:cs="Times New Roman"/>
        </w:rPr>
        <w:t>upravljanja ovim troškovima.</w:t>
      </w:r>
    </w:p>
    <w:p w:rsidR="002939FE" w:rsidRPr="00FA7F54" w:rsidRDefault="002B120E" w:rsidP="004E3E07">
      <w:pPr>
        <w:pStyle w:val="Naslov2"/>
        <w:rPr>
          <w:rFonts w:ascii="Times New Roman" w:hAnsi="Times New Roman" w:cs="Times New Roman"/>
          <w:color w:val="auto"/>
          <w:sz w:val="22"/>
          <w:szCs w:val="22"/>
        </w:rPr>
      </w:pPr>
      <w:bookmarkStart w:id="102" w:name="_Toc434411196"/>
      <w:bookmarkStart w:id="103" w:name="_Toc436402339"/>
      <w:r w:rsidRPr="00FA7F54">
        <w:rPr>
          <w:rFonts w:ascii="Times New Roman" w:hAnsi="Times New Roman" w:cs="Times New Roman"/>
          <w:color w:val="auto"/>
          <w:sz w:val="22"/>
          <w:szCs w:val="22"/>
        </w:rPr>
        <w:t xml:space="preserve">OSTALE USLUGE </w:t>
      </w:r>
      <w:r w:rsidR="002055D0" w:rsidRPr="00FA7F54">
        <w:rPr>
          <w:rFonts w:ascii="Times New Roman" w:hAnsi="Times New Roman" w:cs="Times New Roman"/>
          <w:color w:val="auto"/>
          <w:sz w:val="22"/>
          <w:szCs w:val="22"/>
        </w:rPr>
        <w:t>(3239)</w:t>
      </w:r>
      <w:bookmarkEnd w:id="102"/>
      <w:bookmarkEnd w:id="103"/>
    </w:p>
    <w:p w:rsidR="00787190" w:rsidRPr="00FA7F54" w:rsidRDefault="00787190" w:rsidP="00787190">
      <w:pPr>
        <w:spacing w:line="240" w:lineRule="auto"/>
        <w:jc w:val="both"/>
        <w:rPr>
          <w:rFonts w:ascii="Times New Roman" w:hAnsi="Times New Roman" w:cs="Times New Roman"/>
        </w:rPr>
      </w:pPr>
      <w:r w:rsidRPr="00FA7F54">
        <w:rPr>
          <w:rFonts w:ascii="Times New Roman" w:hAnsi="Times New Roman" w:cs="Times New Roman"/>
        </w:rPr>
        <w:t>Prema iskazanim podacima u financijskim izvještajima rashodi za ostale usluge u 2013. godini iznosili su 1</w:t>
      </w:r>
      <w:r w:rsidR="00301F28">
        <w:rPr>
          <w:rFonts w:ascii="Times New Roman" w:hAnsi="Times New Roman" w:cs="Times New Roman"/>
        </w:rPr>
        <w:t>,</w:t>
      </w:r>
      <w:proofErr w:type="spellStart"/>
      <w:r w:rsidR="00301F28">
        <w:rPr>
          <w:rFonts w:ascii="Times New Roman" w:hAnsi="Times New Roman" w:cs="Times New Roman"/>
        </w:rPr>
        <w:t>1</w:t>
      </w:r>
      <w:proofErr w:type="spellEnd"/>
      <w:r w:rsidRPr="00FA7F54">
        <w:rPr>
          <w:rFonts w:ascii="Times New Roman" w:hAnsi="Times New Roman" w:cs="Times New Roman"/>
        </w:rPr>
        <w:t xml:space="preserve"> m</w:t>
      </w:r>
      <w:r w:rsidR="00301F28">
        <w:rPr>
          <w:rFonts w:ascii="Times New Roman" w:hAnsi="Times New Roman" w:cs="Times New Roman"/>
        </w:rPr>
        <w:t>lrd</w:t>
      </w:r>
      <w:r w:rsidRPr="00FA7F54">
        <w:rPr>
          <w:rFonts w:ascii="Times New Roman" w:hAnsi="Times New Roman" w:cs="Times New Roman"/>
        </w:rPr>
        <w:t xml:space="preserve">. kuna, a u 2014. godini 945,6 mil. kuna. U državnom proračunu za 2015. godinu planirano je </w:t>
      </w:r>
      <w:r w:rsidR="00617A7E" w:rsidRPr="00FA7F54">
        <w:rPr>
          <w:rFonts w:ascii="Times New Roman" w:hAnsi="Times New Roman" w:cs="Times New Roman"/>
        </w:rPr>
        <w:t>733</w:t>
      </w:r>
      <w:r w:rsidRPr="00FA7F54">
        <w:rPr>
          <w:rFonts w:ascii="Times New Roman" w:hAnsi="Times New Roman" w:cs="Times New Roman"/>
        </w:rPr>
        <w:t>,</w:t>
      </w:r>
      <w:r w:rsidR="00617A7E" w:rsidRPr="00FA7F54">
        <w:rPr>
          <w:rFonts w:ascii="Times New Roman" w:hAnsi="Times New Roman" w:cs="Times New Roman"/>
        </w:rPr>
        <w:t>6</w:t>
      </w:r>
      <w:r w:rsidRPr="00FA7F54">
        <w:rPr>
          <w:rFonts w:ascii="Times New Roman" w:hAnsi="Times New Roman" w:cs="Times New Roman"/>
        </w:rPr>
        <w:t xml:space="preserve"> mil. kuna navedenih rashoda od čega se </w:t>
      </w:r>
      <w:r w:rsidR="00617A7E" w:rsidRPr="00FA7F54">
        <w:rPr>
          <w:rFonts w:ascii="Times New Roman" w:hAnsi="Times New Roman" w:cs="Times New Roman"/>
        </w:rPr>
        <w:t>611,7</w:t>
      </w:r>
      <w:r w:rsidRPr="00FA7F54">
        <w:rPr>
          <w:rFonts w:ascii="Times New Roman" w:hAnsi="Times New Roman" w:cs="Times New Roman"/>
        </w:rPr>
        <w:t xml:space="preserve"> mil. </w:t>
      </w:r>
      <w:r w:rsidR="00301F28">
        <w:rPr>
          <w:rFonts w:ascii="Times New Roman" w:hAnsi="Times New Roman" w:cs="Times New Roman"/>
        </w:rPr>
        <w:t xml:space="preserve">kuna </w:t>
      </w:r>
      <w:r w:rsidRPr="00FA7F54">
        <w:rPr>
          <w:rFonts w:ascii="Times New Roman" w:hAnsi="Times New Roman" w:cs="Times New Roman"/>
        </w:rPr>
        <w:t>financira iz izvora u limitu.</w:t>
      </w:r>
    </w:p>
    <w:p w:rsidR="00787190" w:rsidRPr="00FA7F54" w:rsidRDefault="00787190" w:rsidP="00C83540">
      <w:pPr>
        <w:spacing w:line="240" w:lineRule="auto"/>
        <w:rPr>
          <w:rFonts w:ascii="Times New Roman" w:hAnsi="Times New Roman" w:cs="Times New Roman"/>
        </w:rPr>
      </w:pPr>
      <w:r w:rsidRPr="00FA7F54">
        <w:rPr>
          <w:rFonts w:ascii="Times New Roman" w:hAnsi="Times New Roman" w:cs="Times New Roman"/>
        </w:rPr>
        <w:t>Najveći dio rashoda odnosi se na tijela izvršne vlasti (</w:t>
      </w:r>
      <w:r w:rsidR="006F0563">
        <w:rPr>
          <w:rFonts w:ascii="Times New Roman" w:hAnsi="Times New Roman" w:cs="Times New Roman"/>
        </w:rPr>
        <w:t>MORH, MUP, MV</w:t>
      </w:r>
      <w:r w:rsidR="00301F28">
        <w:rPr>
          <w:rFonts w:ascii="Times New Roman" w:hAnsi="Times New Roman" w:cs="Times New Roman"/>
        </w:rPr>
        <w:t>E</w:t>
      </w:r>
      <w:r w:rsidR="006F0563">
        <w:rPr>
          <w:rFonts w:ascii="Times New Roman" w:hAnsi="Times New Roman" w:cs="Times New Roman"/>
        </w:rPr>
        <w:t xml:space="preserve">P, </w:t>
      </w:r>
      <w:proofErr w:type="spellStart"/>
      <w:r w:rsidR="006F0563">
        <w:rPr>
          <w:rFonts w:ascii="Times New Roman" w:hAnsi="Times New Roman" w:cs="Times New Roman"/>
        </w:rPr>
        <w:t>Min.financija</w:t>
      </w:r>
      <w:proofErr w:type="spellEnd"/>
      <w:r w:rsidR="006F0563">
        <w:rPr>
          <w:rFonts w:ascii="Times New Roman" w:hAnsi="Times New Roman" w:cs="Times New Roman"/>
        </w:rPr>
        <w:t xml:space="preserve">, </w:t>
      </w:r>
      <w:proofErr w:type="spellStart"/>
      <w:r w:rsidR="006F0563">
        <w:rPr>
          <w:rFonts w:ascii="Times New Roman" w:hAnsi="Times New Roman" w:cs="Times New Roman"/>
        </w:rPr>
        <w:t>Min.polj</w:t>
      </w:r>
      <w:proofErr w:type="spellEnd"/>
      <w:r w:rsidR="006F0563">
        <w:rPr>
          <w:rFonts w:ascii="Times New Roman" w:hAnsi="Times New Roman" w:cs="Times New Roman"/>
        </w:rPr>
        <w:t>.</w:t>
      </w:r>
      <w:r w:rsidRPr="00FA7F54">
        <w:rPr>
          <w:rFonts w:ascii="Times New Roman" w:hAnsi="Times New Roman" w:cs="Times New Roman"/>
        </w:rPr>
        <w:t>)</w:t>
      </w:r>
      <w:r w:rsidR="00EC16B7">
        <w:rPr>
          <w:rFonts w:ascii="Times New Roman" w:hAnsi="Times New Roman" w:cs="Times New Roman"/>
        </w:rPr>
        <w:t xml:space="preserve"> i agencije</w:t>
      </w:r>
      <w:r w:rsidR="006F0563">
        <w:rPr>
          <w:rFonts w:ascii="Times New Roman" w:hAnsi="Times New Roman" w:cs="Times New Roman"/>
        </w:rPr>
        <w:t xml:space="preserve"> (HCR, REGOS)</w:t>
      </w:r>
      <w:r w:rsidR="00E92482">
        <w:rPr>
          <w:rFonts w:ascii="Times New Roman" w:hAnsi="Times New Roman" w:cs="Times New Roman"/>
        </w:rPr>
        <w:t>.</w:t>
      </w:r>
    </w:p>
    <w:p w:rsidR="009835A2" w:rsidRPr="00301F28" w:rsidRDefault="009835A2" w:rsidP="006B7B79">
      <w:pPr>
        <w:pStyle w:val="Opisslike"/>
        <w:spacing w:after="0"/>
        <w:jc w:val="both"/>
        <w:rPr>
          <w:rFonts w:ascii="Times New Roman" w:hAnsi="Times New Roman" w:cs="Times New Roman"/>
          <w:sz w:val="20"/>
          <w:szCs w:val="20"/>
        </w:rPr>
      </w:pPr>
      <w:bookmarkStart w:id="104" w:name="_Toc436402296"/>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49</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C50AAA" w:rsidRPr="006B7B79">
        <w:rPr>
          <w:rFonts w:ascii="Times New Roman" w:hAnsi="Times New Roman" w:cs="Times New Roman"/>
          <w:sz w:val="20"/>
          <w:szCs w:val="20"/>
        </w:rPr>
        <w:t xml:space="preserve"> Ostale usluge prema podacima iskazanim u financijskim izvještajima proračunskih i izvanproračunskih korisnika za 2013. i 2014. godinu te planu Državnog proračuna za 2015. godinu</w:t>
      </w:r>
      <w:bookmarkEnd w:id="104"/>
    </w:p>
    <w:p w:rsidR="00787190" w:rsidRPr="00FA7F54" w:rsidRDefault="00052FDA" w:rsidP="00C83540">
      <w:pPr>
        <w:spacing w:line="240" w:lineRule="auto"/>
        <w:rPr>
          <w:rFonts w:ascii="Times New Roman" w:hAnsi="Times New Roman" w:cs="Times New Roman"/>
        </w:rPr>
      </w:pPr>
      <w:r w:rsidRPr="00052FDA">
        <w:rPr>
          <w:noProof/>
          <w:lang w:eastAsia="hr-HR"/>
        </w:rPr>
        <w:drawing>
          <wp:inline distT="0" distB="0" distL="0" distR="0" wp14:anchorId="2FA764AE" wp14:editId="43CE4492">
            <wp:extent cx="5760720" cy="3603997"/>
            <wp:effectExtent l="0" t="0" r="0" b="0"/>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3603997"/>
                    </a:xfrm>
                    <a:prstGeom prst="rect">
                      <a:avLst/>
                    </a:prstGeom>
                    <a:noFill/>
                    <a:ln>
                      <a:noFill/>
                    </a:ln>
                  </pic:spPr>
                </pic:pic>
              </a:graphicData>
            </a:graphic>
          </wp:inline>
        </w:drawing>
      </w:r>
    </w:p>
    <w:p w:rsidR="002431E6" w:rsidRDefault="002431E6" w:rsidP="0073226B">
      <w:pPr>
        <w:spacing w:line="240" w:lineRule="auto"/>
        <w:jc w:val="both"/>
        <w:rPr>
          <w:rFonts w:ascii="Times New Roman" w:hAnsi="Times New Roman" w:cs="Times New Roman"/>
        </w:rPr>
      </w:pPr>
      <w:r w:rsidRPr="00FA7F54">
        <w:rPr>
          <w:rFonts w:ascii="Times New Roman" w:hAnsi="Times New Roman" w:cs="Times New Roman"/>
        </w:rPr>
        <w:t xml:space="preserve">Navedeni rashodi uključuju </w:t>
      </w:r>
      <w:r>
        <w:rPr>
          <w:rFonts w:ascii="Times New Roman" w:hAnsi="Times New Roman" w:cs="Times New Roman"/>
        </w:rPr>
        <w:t>grafičke i tiskarske usluge, usluge kopiranja i uvezivanja i slično, film i izradu fotografija, uređenje prostora, usluge pri registraciji prijevoznih sredstava, usluge čišćenja, pranja i slično, usluge čuvanja imovine i osoba, naknadu za energetsku usl</w:t>
      </w:r>
      <w:r w:rsidR="002C456E">
        <w:rPr>
          <w:rFonts w:ascii="Times New Roman" w:hAnsi="Times New Roman" w:cs="Times New Roman"/>
        </w:rPr>
        <w:t xml:space="preserve">ugu i ostale nespomenute usluge koje čine i najveći udio u ostalim uslugama. </w:t>
      </w:r>
    </w:p>
    <w:p w:rsidR="00D035CE" w:rsidRPr="00FA7F54" w:rsidRDefault="00D035CE" w:rsidP="0073226B">
      <w:pPr>
        <w:spacing w:line="240" w:lineRule="auto"/>
        <w:jc w:val="both"/>
        <w:rPr>
          <w:rFonts w:ascii="Times New Roman" w:hAnsi="Times New Roman" w:cs="Times New Roman"/>
        </w:rPr>
      </w:pPr>
    </w:p>
    <w:p w:rsidR="002B120E" w:rsidRPr="00301F28" w:rsidRDefault="003E3F86" w:rsidP="006B7B79">
      <w:pPr>
        <w:pStyle w:val="Opisslike"/>
        <w:spacing w:after="0"/>
        <w:jc w:val="both"/>
        <w:rPr>
          <w:rFonts w:ascii="Times New Roman" w:hAnsi="Times New Roman" w:cs="Times New Roman"/>
        </w:rPr>
      </w:pPr>
      <w:bookmarkStart w:id="105" w:name="_Toc436402297"/>
      <w:r w:rsidRPr="006B7B79">
        <w:rPr>
          <w:rFonts w:ascii="Times New Roman" w:hAnsi="Times New Roman" w:cs="Times New Roman"/>
        </w:rPr>
        <w:lastRenderedPageBreak/>
        <w:t xml:space="preserve">Tabela </w:t>
      </w:r>
      <w:r w:rsidR="002D0343" w:rsidRPr="006B7B79">
        <w:rPr>
          <w:rFonts w:ascii="Times New Roman" w:hAnsi="Times New Roman" w:cs="Times New Roman"/>
        </w:rPr>
        <w:fldChar w:fldCharType="begin"/>
      </w:r>
      <w:r w:rsidR="00F0496E" w:rsidRPr="006B7B79">
        <w:rPr>
          <w:rFonts w:ascii="Times New Roman" w:hAnsi="Times New Roman" w:cs="Times New Roman"/>
        </w:rPr>
        <w:instrText xml:space="preserve"> SEQ Tabela \* ARABIC </w:instrText>
      </w:r>
      <w:r w:rsidR="002D0343" w:rsidRPr="006B7B79">
        <w:rPr>
          <w:rFonts w:ascii="Times New Roman" w:hAnsi="Times New Roman" w:cs="Times New Roman"/>
        </w:rPr>
        <w:fldChar w:fldCharType="separate"/>
      </w:r>
      <w:r w:rsidR="00F50808">
        <w:rPr>
          <w:rFonts w:ascii="Times New Roman" w:hAnsi="Times New Roman" w:cs="Times New Roman"/>
          <w:noProof/>
        </w:rPr>
        <w:t>50</w:t>
      </w:r>
      <w:r w:rsidR="002D0343" w:rsidRPr="006B7B79">
        <w:rPr>
          <w:rFonts w:ascii="Times New Roman" w:hAnsi="Times New Roman" w:cs="Times New Roman"/>
          <w:noProof/>
        </w:rPr>
        <w:fldChar w:fldCharType="end"/>
      </w:r>
      <w:r w:rsidRPr="006B7B79">
        <w:rPr>
          <w:rFonts w:ascii="Times New Roman" w:hAnsi="Times New Roman" w:cs="Times New Roman"/>
        </w:rPr>
        <w:t xml:space="preserve">: Ostale nespomenute usluge </w:t>
      </w:r>
      <w:r w:rsidRPr="006B7B79">
        <w:rPr>
          <w:rFonts w:ascii="Times New Roman" w:hAnsi="Times New Roman" w:cs="Times New Roman"/>
          <w:sz w:val="20"/>
          <w:szCs w:val="20"/>
        </w:rPr>
        <w:t>prema podacima iskazanim u državnom proračunu – izvršenje za 2014. (u mil.</w:t>
      </w:r>
      <w:r w:rsidR="00301F28">
        <w:rPr>
          <w:rFonts w:ascii="Times New Roman" w:hAnsi="Times New Roman" w:cs="Times New Roman"/>
          <w:sz w:val="20"/>
          <w:szCs w:val="20"/>
        </w:rPr>
        <w:t xml:space="preserve"> kuna</w:t>
      </w:r>
      <w:r w:rsidRPr="006B7B79">
        <w:rPr>
          <w:rFonts w:ascii="Times New Roman" w:hAnsi="Times New Roman" w:cs="Times New Roman"/>
          <w:sz w:val="20"/>
          <w:szCs w:val="20"/>
        </w:rPr>
        <w:t>)</w:t>
      </w:r>
      <w:bookmarkEnd w:id="105"/>
    </w:p>
    <w:tbl>
      <w:tblPr>
        <w:tblW w:w="9040" w:type="dxa"/>
        <w:tblInd w:w="93" w:type="dxa"/>
        <w:tblLook w:val="04A0" w:firstRow="1" w:lastRow="0" w:firstColumn="1" w:lastColumn="0" w:noHBand="0" w:noVBand="1"/>
      </w:tblPr>
      <w:tblGrid>
        <w:gridCol w:w="1344"/>
        <w:gridCol w:w="947"/>
        <w:gridCol w:w="965"/>
        <w:gridCol w:w="949"/>
        <w:gridCol w:w="948"/>
        <w:gridCol w:w="973"/>
        <w:gridCol w:w="947"/>
        <w:gridCol w:w="946"/>
        <w:gridCol w:w="1176"/>
      </w:tblGrid>
      <w:tr w:rsidR="00EC16B7" w:rsidRPr="00EC16B7" w:rsidTr="00EC16B7">
        <w:trPr>
          <w:trHeight w:val="1110"/>
        </w:trPr>
        <w:tc>
          <w:tcPr>
            <w:tcW w:w="1356"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EC16B7" w:rsidRPr="00EC16B7" w:rsidRDefault="00EC16B7" w:rsidP="00301F28">
            <w:pPr>
              <w:spacing w:after="0" w:line="240" w:lineRule="auto"/>
              <w:jc w:val="center"/>
              <w:rPr>
                <w:rFonts w:ascii="Arial" w:eastAsia="Times New Roman" w:hAnsi="Arial" w:cs="Arial"/>
                <w:b/>
                <w:bCs/>
                <w:sz w:val="16"/>
                <w:szCs w:val="16"/>
                <w:lang w:eastAsia="hr-HR"/>
              </w:rPr>
            </w:pPr>
            <w:r w:rsidRPr="00EC16B7">
              <w:rPr>
                <w:rFonts w:ascii="Arial" w:eastAsia="Times New Roman" w:hAnsi="Arial" w:cs="Arial"/>
                <w:b/>
                <w:bCs/>
                <w:sz w:val="16"/>
                <w:szCs w:val="16"/>
                <w:lang w:eastAsia="hr-HR"/>
              </w:rPr>
              <w:t>Izvršenje 2014.</w:t>
            </w:r>
          </w:p>
        </w:tc>
        <w:tc>
          <w:tcPr>
            <w:tcW w:w="954" w:type="dxa"/>
            <w:tcBorders>
              <w:top w:val="single" w:sz="4" w:space="0" w:color="000080"/>
              <w:left w:val="nil"/>
              <w:bottom w:val="single" w:sz="4" w:space="0" w:color="000080"/>
              <w:right w:val="single" w:sz="4" w:space="0" w:color="000080"/>
            </w:tcBorders>
            <w:shd w:val="clear" w:color="000000" w:fill="DCE6F1"/>
            <w:vAlign w:val="center"/>
            <w:hideMark/>
          </w:tcPr>
          <w:p w:rsidR="00EC16B7" w:rsidRPr="00EC16B7" w:rsidRDefault="00EC16B7" w:rsidP="00301F28">
            <w:pPr>
              <w:spacing w:after="0" w:line="240" w:lineRule="auto"/>
              <w:jc w:val="center"/>
              <w:rPr>
                <w:rFonts w:ascii="Arial" w:eastAsia="Times New Roman" w:hAnsi="Arial" w:cs="Arial"/>
                <w:b/>
                <w:color w:val="000000"/>
                <w:sz w:val="16"/>
                <w:szCs w:val="16"/>
                <w:lang w:eastAsia="hr-HR"/>
              </w:rPr>
            </w:pPr>
            <w:r w:rsidRPr="00EC16B7">
              <w:rPr>
                <w:rFonts w:ascii="Arial" w:eastAsia="Times New Roman" w:hAnsi="Arial" w:cs="Arial"/>
                <w:b/>
                <w:color w:val="000000"/>
                <w:sz w:val="16"/>
                <w:szCs w:val="16"/>
                <w:lang w:eastAsia="hr-HR"/>
              </w:rPr>
              <w:t>Ostale usluge</w:t>
            </w:r>
          </w:p>
        </w:tc>
        <w:tc>
          <w:tcPr>
            <w:tcW w:w="955" w:type="dxa"/>
            <w:tcBorders>
              <w:top w:val="single" w:sz="4" w:space="0" w:color="000080"/>
              <w:left w:val="nil"/>
              <w:bottom w:val="single" w:sz="4" w:space="0" w:color="000080"/>
              <w:right w:val="single" w:sz="4" w:space="0" w:color="000080"/>
            </w:tcBorders>
            <w:shd w:val="clear" w:color="000000" w:fill="DCE6F1"/>
            <w:vAlign w:val="center"/>
            <w:hideMark/>
          </w:tcPr>
          <w:p w:rsidR="00EC16B7" w:rsidRPr="00EC16B7" w:rsidRDefault="00EC16B7" w:rsidP="00301F28">
            <w:pPr>
              <w:spacing w:after="0" w:line="240" w:lineRule="auto"/>
              <w:jc w:val="center"/>
              <w:rPr>
                <w:rFonts w:ascii="Arial" w:eastAsia="Times New Roman" w:hAnsi="Arial" w:cs="Arial"/>
                <w:color w:val="000000"/>
                <w:sz w:val="16"/>
                <w:szCs w:val="16"/>
                <w:lang w:eastAsia="hr-HR"/>
              </w:rPr>
            </w:pPr>
            <w:r w:rsidRPr="00EC16B7">
              <w:rPr>
                <w:rFonts w:ascii="Arial" w:eastAsia="Times New Roman" w:hAnsi="Arial" w:cs="Arial"/>
                <w:color w:val="000000"/>
                <w:sz w:val="16"/>
                <w:szCs w:val="16"/>
                <w:lang w:eastAsia="hr-HR"/>
              </w:rPr>
              <w:t>Grafičke i tiskarske usluge, usluge kopiranja i uv</w:t>
            </w:r>
            <w:r w:rsidR="002431E6">
              <w:rPr>
                <w:rFonts w:ascii="Arial" w:eastAsia="Times New Roman" w:hAnsi="Arial" w:cs="Arial"/>
                <w:color w:val="000000"/>
                <w:sz w:val="16"/>
                <w:szCs w:val="16"/>
                <w:lang w:eastAsia="hr-HR"/>
              </w:rPr>
              <w:t>ezivanja i slično</w:t>
            </w:r>
          </w:p>
        </w:tc>
        <w:tc>
          <w:tcPr>
            <w:tcW w:w="956" w:type="dxa"/>
            <w:tcBorders>
              <w:top w:val="single" w:sz="4" w:space="0" w:color="000080"/>
              <w:left w:val="nil"/>
              <w:bottom w:val="single" w:sz="4" w:space="0" w:color="000080"/>
              <w:right w:val="single" w:sz="4" w:space="0" w:color="000080"/>
            </w:tcBorders>
            <w:shd w:val="clear" w:color="000000" w:fill="DCE6F1"/>
            <w:vAlign w:val="center"/>
            <w:hideMark/>
          </w:tcPr>
          <w:p w:rsidR="00EC16B7" w:rsidRPr="00EC16B7" w:rsidRDefault="00EC16B7" w:rsidP="00301F28">
            <w:pPr>
              <w:spacing w:after="0" w:line="240" w:lineRule="auto"/>
              <w:jc w:val="center"/>
              <w:rPr>
                <w:rFonts w:ascii="Arial" w:eastAsia="Times New Roman" w:hAnsi="Arial" w:cs="Arial"/>
                <w:color w:val="000000"/>
                <w:sz w:val="16"/>
                <w:szCs w:val="16"/>
                <w:lang w:eastAsia="hr-HR"/>
              </w:rPr>
            </w:pPr>
            <w:r w:rsidRPr="00EC16B7">
              <w:rPr>
                <w:rFonts w:ascii="Arial" w:eastAsia="Times New Roman" w:hAnsi="Arial" w:cs="Arial"/>
                <w:color w:val="000000"/>
                <w:sz w:val="16"/>
                <w:szCs w:val="16"/>
                <w:lang w:eastAsia="hr-HR"/>
              </w:rPr>
              <w:t>Film i izrada fotografija</w:t>
            </w:r>
          </w:p>
        </w:tc>
        <w:tc>
          <w:tcPr>
            <w:tcW w:w="955" w:type="dxa"/>
            <w:tcBorders>
              <w:top w:val="single" w:sz="4" w:space="0" w:color="000080"/>
              <w:left w:val="nil"/>
              <w:bottom w:val="single" w:sz="4" w:space="0" w:color="000080"/>
              <w:right w:val="single" w:sz="4" w:space="0" w:color="000080"/>
            </w:tcBorders>
            <w:shd w:val="clear" w:color="000000" w:fill="DCE6F1"/>
            <w:vAlign w:val="center"/>
            <w:hideMark/>
          </w:tcPr>
          <w:p w:rsidR="00EC16B7" w:rsidRPr="00EC16B7" w:rsidRDefault="00EC16B7" w:rsidP="00301F28">
            <w:pPr>
              <w:spacing w:after="0" w:line="240" w:lineRule="auto"/>
              <w:jc w:val="center"/>
              <w:rPr>
                <w:rFonts w:ascii="Arial" w:eastAsia="Times New Roman" w:hAnsi="Arial" w:cs="Arial"/>
                <w:color w:val="000000"/>
                <w:sz w:val="16"/>
                <w:szCs w:val="16"/>
                <w:lang w:eastAsia="hr-HR"/>
              </w:rPr>
            </w:pPr>
            <w:r w:rsidRPr="00EC16B7">
              <w:rPr>
                <w:rFonts w:ascii="Arial" w:eastAsia="Times New Roman" w:hAnsi="Arial" w:cs="Arial"/>
                <w:color w:val="000000"/>
                <w:sz w:val="16"/>
                <w:szCs w:val="16"/>
                <w:lang w:eastAsia="hr-HR"/>
              </w:rPr>
              <w:t>Uređenje prostora</w:t>
            </w:r>
          </w:p>
        </w:tc>
        <w:tc>
          <w:tcPr>
            <w:tcW w:w="957" w:type="dxa"/>
            <w:tcBorders>
              <w:top w:val="single" w:sz="4" w:space="0" w:color="000080"/>
              <w:left w:val="nil"/>
              <w:bottom w:val="single" w:sz="4" w:space="0" w:color="000080"/>
              <w:right w:val="single" w:sz="4" w:space="0" w:color="000080"/>
            </w:tcBorders>
            <w:shd w:val="clear" w:color="000000" w:fill="DCE6F1"/>
            <w:vAlign w:val="center"/>
            <w:hideMark/>
          </w:tcPr>
          <w:p w:rsidR="00EC16B7" w:rsidRPr="00EC16B7" w:rsidRDefault="00EC16B7" w:rsidP="00301F28">
            <w:pPr>
              <w:spacing w:after="0" w:line="240" w:lineRule="auto"/>
              <w:jc w:val="center"/>
              <w:rPr>
                <w:rFonts w:ascii="Arial" w:eastAsia="Times New Roman" w:hAnsi="Arial" w:cs="Arial"/>
                <w:color w:val="000000"/>
                <w:sz w:val="16"/>
                <w:szCs w:val="16"/>
                <w:lang w:eastAsia="hr-HR"/>
              </w:rPr>
            </w:pPr>
            <w:r w:rsidRPr="00EC16B7">
              <w:rPr>
                <w:rFonts w:ascii="Arial" w:eastAsia="Times New Roman" w:hAnsi="Arial" w:cs="Arial"/>
                <w:color w:val="000000"/>
                <w:sz w:val="16"/>
                <w:szCs w:val="16"/>
                <w:lang w:eastAsia="hr-HR"/>
              </w:rPr>
              <w:t>Usluge pri registraciji prijevoznih sredstava</w:t>
            </w:r>
          </w:p>
        </w:tc>
        <w:tc>
          <w:tcPr>
            <w:tcW w:w="954" w:type="dxa"/>
            <w:tcBorders>
              <w:top w:val="single" w:sz="4" w:space="0" w:color="000080"/>
              <w:left w:val="nil"/>
              <w:bottom w:val="single" w:sz="4" w:space="0" w:color="000080"/>
              <w:right w:val="single" w:sz="4" w:space="0" w:color="000080"/>
            </w:tcBorders>
            <w:shd w:val="clear" w:color="000000" w:fill="DCE6F1"/>
            <w:vAlign w:val="center"/>
            <w:hideMark/>
          </w:tcPr>
          <w:p w:rsidR="00EC16B7" w:rsidRPr="00EC16B7" w:rsidRDefault="00EC16B7" w:rsidP="00301F28">
            <w:pPr>
              <w:spacing w:after="0" w:line="240" w:lineRule="auto"/>
              <w:jc w:val="center"/>
              <w:rPr>
                <w:rFonts w:ascii="Arial" w:eastAsia="Times New Roman" w:hAnsi="Arial" w:cs="Arial"/>
                <w:color w:val="000000"/>
                <w:sz w:val="16"/>
                <w:szCs w:val="16"/>
                <w:lang w:eastAsia="hr-HR"/>
              </w:rPr>
            </w:pPr>
            <w:r w:rsidRPr="00EC16B7">
              <w:rPr>
                <w:rFonts w:ascii="Arial" w:eastAsia="Times New Roman" w:hAnsi="Arial" w:cs="Arial"/>
                <w:color w:val="000000"/>
                <w:sz w:val="16"/>
                <w:szCs w:val="16"/>
                <w:lang w:eastAsia="hr-HR"/>
              </w:rPr>
              <w:t>Usluge čišćenja, pranja i slično</w:t>
            </w:r>
          </w:p>
        </w:tc>
        <w:tc>
          <w:tcPr>
            <w:tcW w:w="953" w:type="dxa"/>
            <w:tcBorders>
              <w:top w:val="single" w:sz="4" w:space="0" w:color="000080"/>
              <w:left w:val="nil"/>
              <w:bottom w:val="single" w:sz="4" w:space="0" w:color="000080"/>
              <w:right w:val="single" w:sz="4" w:space="0" w:color="000080"/>
            </w:tcBorders>
            <w:shd w:val="clear" w:color="000000" w:fill="DCE6F1"/>
            <w:vAlign w:val="center"/>
            <w:hideMark/>
          </w:tcPr>
          <w:p w:rsidR="00EC16B7" w:rsidRPr="00EC16B7" w:rsidRDefault="00EC16B7" w:rsidP="00301F28">
            <w:pPr>
              <w:spacing w:after="0" w:line="240" w:lineRule="auto"/>
              <w:jc w:val="center"/>
              <w:rPr>
                <w:rFonts w:ascii="Arial" w:eastAsia="Times New Roman" w:hAnsi="Arial" w:cs="Arial"/>
                <w:color w:val="000000"/>
                <w:sz w:val="16"/>
                <w:szCs w:val="16"/>
                <w:lang w:eastAsia="hr-HR"/>
              </w:rPr>
            </w:pPr>
            <w:r w:rsidRPr="00EC16B7">
              <w:rPr>
                <w:rFonts w:ascii="Arial" w:eastAsia="Times New Roman" w:hAnsi="Arial" w:cs="Arial"/>
                <w:color w:val="000000"/>
                <w:sz w:val="16"/>
                <w:szCs w:val="16"/>
                <w:lang w:eastAsia="hr-HR"/>
              </w:rPr>
              <w:t>Usluge čuvanja imovine i osoba</w:t>
            </w:r>
          </w:p>
        </w:tc>
        <w:tc>
          <w:tcPr>
            <w:tcW w:w="1000" w:type="dxa"/>
            <w:tcBorders>
              <w:top w:val="single" w:sz="4" w:space="0" w:color="000080"/>
              <w:left w:val="nil"/>
              <w:bottom w:val="single" w:sz="4" w:space="0" w:color="000080"/>
              <w:right w:val="single" w:sz="4" w:space="0" w:color="000080"/>
            </w:tcBorders>
            <w:shd w:val="clear" w:color="000000" w:fill="DCE6F1"/>
            <w:vAlign w:val="center"/>
            <w:hideMark/>
          </w:tcPr>
          <w:p w:rsidR="00EC16B7" w:rsidRPr="00EC16B7" w:rsidRDefault="00EC16B7" w:rsidP="00301F28">
            <w:pPr>
              <w:spacing w:after="0" w:line="240" w:lineRule="auto"/>
              <w:jc w:val="center"/>
              <w:rPr>
                <w:rFonts w:ascii="Arial" w:eastAsia="Times New Roman" w:hAnsi="Arial" w:cs="Arial"/>
                <w:color w:val="000000"/>
                <w:sz w:val="16"/>
                <w:szCs w:val="16"/>
                <w:lang w:eastAsia="hr-HR"/>
              </w:rPr>
            </w:pPr>
            <w:r w:rsidRPr="00EC16B7">
              <w:rPr>
                <w:rFonts w:ascii="Arial" w:eastAsia="Times New Roman" w:hAnsi="Arial" w:cs="Arial"/>
                <w:color w:val="000000"/>
                <w:sz w:val="16"/>
                <w:szCs w:val="16"/>
                <w:lang w:eastAsia="hr-HR"/>
              </w:rPr>
              <w:t>Ostale nespomenute usluge</w:t>
            </w:r>
          </w:p>
        </w:tc>
      </w:tr>
      <w:tr w:rsidR="00EC16B7" w:rsidRPr="00EC16B7" w:rsidTr="00EC16B7">
        <w:trPr>
          <w:trHeight w:val="300"/>
        </w:trPr>
        <w:tc>
          <w:tcPr>
            <w:tcW w:w="1356" w:type="dxa"/>
            <w:tcBorders>
              <w:top w:val="nil"/>
              <w:left w:val="single" w:sz="4" w:space="0" w:color="000080"/>
              <w:bottom w:val="single" w:sz="4" w:space="0" w:color="000080"/>
              <w:right w:val="single" w:sz="4" w:space="0" w:color="000080"/>
            </w:tcBorders>
            <w:shd w:val="clear" w:color="000000" w:fill="DCE6F1"/>
            <w:noWrap/>
            <w:vAlign w:val="center"/>
            <w:hideMark/>
          </w:tcPr>
          <w:p w:rsidR="00EC16B7" w:rsidRPr="00EC16B7" w:rsidRDefault="00EC16B7" w:rsidP="00EC16B7">
            <w:pPr>
              <w:spacing w:after="0" w:line="240" w:lineRule="auto"/>
              <w:ind w:firstLineChars="200" w:firstLine="320"/>
              <w:rPr>
                <w:rFonts w:ascii="Arial" w:eastAsia="Times New Roman" w:hAnsi="Arial" w:cs="Arial"/>
                <w:sz w:val="16"/>
                <w:szCs w:val="16"/>
                <w:lang w:eastAsia="hr-HR"/>
              </w:rPr>
            </w:pPr>
            <w:r w:rsidRPr="00EC16B7">
              <w:rPr>
                <w:rFonts w:ascii="Arial" w:eastAsia="Times New Roman" w:hAnsi="Arial" w:cs="Arial"/>
                <w:sz w:val="16"/>
                <w:szCs w:val="16"/>
                <w:lang w:eastAsia="hr-HR"/>
              </w:rPr>
              <w:t>- Ukupno</w:t>
            </w:r>
          </w:p>
        </w:tc>
        <w:tc>
          <w:tcPr>
            <w:tcW w:w="954" w:type="dxa"/>
            <w:tcBorders>
              <w:top w:val="nil"/>
              <w:left w:val="nil"/>
              <w:bottom w:val="single" w:sz="4" w:space="0" w:color="000080"/>
              <w:right w:val="single" w:sz="4" w:space="0" w:color="000080"/>
            </w:tcBorders>
            <w:shd w:val="clear" w:color="000000" w:fill="DCE6F1"/>
            <w:noWrap/>
            <w:vAlign w:val="center"/>
            <w:hideMark/>
          </w:tcPr>
          <w:p w:rsidR="00EC16B7" w:rsidRPr="00EC16B7" w:rsidRDefault="00EC16B7" w:rsidP="00EC16B7">
            <w:pPr>
              <w:spacing w:after="0" w:line="240" w:lineRule="auto"/>
              <w:jc w:val="right"/>
              <w:rPr>
                <w:rFonts w:ascii="Arial" w:eastAsia="Times New Roman" w:hAnsi="Arial" w:cs="Arial"/>
                <w:b/>
                <w:color w:val="000000"/>
                <w:sz w:val="16"/>
                <w:szCs w:val="16"/>
                <w:lang w:eastAsia="hr-HR"/>
              </w:rPr>
            </w:pPr>
            <w:r w:rsidRPr="00EC16B7">
              <w:rPr>
                <w:rFonts w:ascii="Arial" w:eastAsia="Times New Roman" w:hAnsi="Arial" w:cs="Arial"/>
                <w:b/>
                <w:color w:val="000000"/>
                <w:sz w:val="16"/>
                <w:szCs w:val="16"/>
                <w:lang w:eastAsia="hr-HR"/>
              </w:rPr>
              <w:t>764,992</w:t>
            </w:r>
          </w:p>
        </w:tc>
        <w:tc>
          <w:tcPr>
            <w:tcW w:w="955" w:type="dxa"/>
            <w:tcBorders>
              <w:top w:val="nil"/>
              <w:left w:val="nil"/>
              <w:bottom w:val="single" w:sz="4" w:space="0" w:color="000080"/>
              <w:right w:val="single" w:sz="4" w:space="0" w:color="000080"/>
            </w:tcBorders>
            <w:shd w:val="clear" w:color="000000" w:fill="DCE6F1"/>
            <w:noWrap/>
            <w:vAlign w:val="center"/>
            <w:hideMark/>
          </w:tcPr>
          <w:p w:rsidR="00EC16B7" w:rsidRPr="00EC16B7" w:rsidRDefault="00EC16B7" w:rsidP="00EC16B7">
            <w:pPr>
              <w:spacing w:after="0" w:line="240" w:lineRule="auto"/>
              <w:jc w:val="right"/>
              <w:rPr>
                <w:rFonts w:ascii="Arial" w:eastAsia="Times New Roman" w:hAnsi="Arial" w:cs="Arial"/>
                <w:color w:val="000000"/>
                <w:sz w:val="16"/>
                <w:szCs w:val="16"/>
                <w:lang w:eastAsia="hr-HR"/>
              </w:rPr>
            </w:pPr>
            <w:r w:rsidRPr="00EC16B7">
              <w:rPr>
                <w:rFonts w:ascii="Arial" w:eastAsia="Times New Roman" w:hAnsi="Arial" w:cs="Arial"/>
                <w:color w:val="000000"/>
                <w:sz w:val="16"/>
                <w:szCs w:val="16"/>
                <w:lang w:eastAsia="hr-HR"/>
              </w:rPr>
              <w:t>192,232</w:t>
            </w:r>
          </w:p>
        </w:tc>
        <w:tc>
          <w:tcPr>
            <w:tcW w:w="956" w:type="dxa"/>
            <w:tcBorders>
              <w:top w:val="nil"/>
              <w:left w:val="nil"/>
              <w:bottom w:val="single" w:sz="4" w:space="0" w:color="000080"/>
              <w:right w:val="single" w:sz="4" w:space="0" w:color="000080"/>
            </w:tcBorders>
            <w:shd w:val="clear" w:color="000000" w:fill="DCE6F1"/>
            <w:noWrap/>
            <w:vAlign w:val="center"/>
            <w:hideMark/>
          </w:tcPr>
          <w:p w:rsidR="00EC16B7" w:rsidRPr="00EC16B7" w:rsidRDefault="00EC16B7" w:rsidP="00EC16B7">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Pr="00EC16B7">
              <w:rPr>
                <w:rFonts w:ascii="Arial" w:eastAsia="Times New Roman" w:hAnsi="Arial" w:cs="Arial"/>
                <w:color w:val="000000"/>
                <w:sz w:val="16"/>
                <w:szCs w:val="16"/>
                <w:lang w:eastAsia="hr-HR"/>
              </w:rPr>
              <w:t>,345</w:t>
            </w:r>
          </w:p>
        </w:tc>
        <w:tc>
          <w:tcPr>
            <w:tcW w:w="955" w:type="dxa"/>
            <w:tcBorders>
              <w:top w:val="nil"/>
              <w:left w:val="nil"/>
              <w:bottom w:val="single" w:sz="4" w:space="0" w:color="000080"/>
              <w:right w:val="single" w:sz="4" w:space="0" w:color="000080"/>
            </w:tcBorders>
            <w:shd w:val="clear" w:color="000000" w:fill="DCE6F1"/>
            <w:noWrap/>
            <w:vAlign w:val="center"/>
            <w:hideMark/>
          </w:tcPr>
          <w:p w:rsidR="00EC16B7" w:rsidRPr="00EC16B7" w:rsidRDefault="00EC16B7" w:rsidP="00EC16B7">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Pr="00EC16B7">
              <w:rPr>
                <w:rFonts w:ascii="Arial" w:eastAsia="Times New Roman" w:hAnsi="Arial" w:cs="Arial"/>
                <w:color w:val="000000"/>
                <w:sz w:val="16"/>
                <w:szCs w:val="16"/>
                <w:lang w:eastAsia="hr-HR"/>
              </w:rPr>
              <w:t>,451</w:t>
            </w:r>
          </w:p>
        </w:tc>
        <w:tc>
          <w:tcPr>
            <w:tcW w:w="957" w:type="dxa"/>
            <w:tcBorders>
              <w:top w:val="nil"/>
              <w:left w:val="nil"/>
              <w:bottom w:val="single" w:sz="4" w:space="0" w:color="000080"/>
              <w:right w:val="single" w:sz="4" w:space="0" w:color="000080"/>
            </w:tcBorders>
            <w:shd w:val="clear" w:color="000000" w:fill="DCE6F1"/>
            <w:noWrap/>
            <w:vAlign w:val="center"/>
            <w:hideMark/>
          </w:tcPr>
          <w:p w:rsidR="00EC16B7" w:rsidRPr="00EC16B7" w:rsidRDefault="00EC16B7" w:rsidP="00EC16B7">
            <w:pPr>
              <w:spacing w:after="0" w:line="240" w:lineRule="auto"/>
              <w:jc w:val="right"/>
              <w:rPr>
                <w:rFonts w:ascii="Arial" w:eastAsia="Times New Roman" w:hAnsi="Arial" w:cs="Arial"/>
                <w:color w:val="000000"/>
                <w:sz w:val="16"/>
                <w:szCs w:val="16"/>
                <w:lang w:eastAsia="hr-HR"/>
              </w:rPr>
            </w:pPr>
            <w:r w:rsidRPr="00EC16B7">
              <w:rPr>
                <w:rFonts w:ascii="Arial" w:eastAsia="Times New Roman" w:hAnsi="Arial" w:cs="Arial"/>
                <w:color w:val="000000"/>
                <w:sz w:val="16"/>
                <w:szCs w:val="16"/>
                <w:lang w:eastAsia="hr-HR"/>
              </w:rPr>
              <w:t>8,43</w:t>
            </w:r>
            <w:r>
              <w:rPr>
                <w:rFonts w:ascii="Arial" w:eastAsia="Times New Roman" w:hAnsi="Arial" w:cs="Arial"/>
                <w:color w:val="000000"/>
                <w:sz w:val="16"/>
                <w:szCs w:val="16"/>
                <w:lang w:eastAsia="hr-HR"/>
              </w:rPr>
              <w:t>0</w:t>
            </w:r>
          </w:p>
        </w:tc>
        <w:tc>
          <w:tcPr>
            <w:tcW w:w="954" w:type="dxa"/>
            <w:tcBorders>
              <w:top w:val="nil"/>
              <w:left w:val="nil"/>
              <w:bottom w:val="single" w:sz="4" w:space="0" w:color="000080"/>
              <w:right w:val="single" w:sz="4" w:space="0" w:color="000080"/>
            </w:tcBorders>
            <w:shd w:val="clear" w:color="000000" w:fill="DCE6F1"/>
            <w:noWrap/>
            <w:vAlign w:val="center"/>
            <w:hideMark/>
          </w:tcPr>
          <w:p w:rsidR="00EC16B7" w:rsidRPr="00EC16B7" w:rsidRDefault="00EC16B7" w:rsidP="00EC16B7">
            <w:pPr>
              <w:spacing w:after="0" w:line="240" w:lineRule="auto"/>
              <w:jc w:val="right"/>
              <w:rPr>
                <w:rFonts w:ascii="Arial" w:eastAsia="Times New Roman" w:hAnsi="Arial" w:cs="Arial"/>
                <w:color w:val="000000"/>
                <w:sz w:val="16"/>
                <w:szCs w:val="16"/>
                <w:lang w:eastAsia="hr-HR"/>
              </w:rPr>
            </w:pPr>
            <w:r w:rsidRPr="00EC16B7">
              <w:rPr>
                <w:rFonts w:ascii="Arial" w:eastAsia="Times New Roman" w:hAnsi="Arial" w:cs="Arial"/>
                <w:color w:val="000000"/>
                <w:sz w:val="16"/>
                <w:szCs w:val="16"/>
                <w:lang w:eastAsia="hr-HR"/>
              </w:rPr>
              <w:t>52,262</w:t>
            </w:r>
          </w:p>
        </w:tc>
        <w:tc>
          <w:tcPr>
            <w:tcW w:w="953" w:type="dxa"/>
            <w:tcBorders>
              <w:top w:val="nil"/>
              <w:left w:val="nil"/>
              <w:bottom w:val="single" w:sz="4" w:space="0" w:color="000080"/>
              <w:right w:val="single" w:sz="4" w:space="0" w:color="000080"/>
            </w:tcBorders>
            <w:shd w:val="clear" w:color="000000" w:fill="DCE6F1"/>
            <w:noWrap/>
            <w:vAlign w:val="center"/>
            <w:hideMark/>
          </w:tcPr>
          <w:p w:rsidR="00EC16B7" w:rsidRPr="00EC16B7" w:rsidRDefault="00EC16B7" w:rsidP="00EC16B7">
            <w:pPr>
              <w:spacing w:after="0" w:line="240" w:lineRule="auto"/>
              <w:jc w:val="right"/>
              <w:rPr>
                <w:rFonts w:ascii="Arial" w:eastAsia="Times New Roman" w:hAnsi="Arial" w:cs="Arial"/>
                <w:color w:val="000000"/>
                <w:sz w:val="16"/>
                <w:szCs w:val="16"/>
                <w:lang w:eastAsia="hr-HR"/>
              </w:rPr>
            </w:pPr>
            <w:r w:rsidRPr="00EC16B7">
              <w:rPr>
                <w:rFonts w:ascii="Arial" w:eastAsia="Times New Roman" w:hAnsi="Arial" w:cs="Arial"/>
                <w:color w:val="000000"/>
                <w:sz w:val="16"/>
                <w:szCs w:val="16"/>
                <w:lang w:eastAsia="hr-HR"/>
              </w:rPr>
              <w:t>29,739</w:t>
            </w:r>
          </w:p>
        </w:tc>
        <w:tc>
          <w:tcPr>
            <w:tcW w:w="1000" w:type="dxa"/>
            <w:tcBorders>
              <w:top w:val="nil"/>
              <w:left w:val="nil"/>
              <w:bottom w:val="single" w:sz="4" w:space="0" w:color="000080"/>
              <w:right w:val="single" w:sz="4" w:space="0" w:color="000080"/>
            </w:tcBorders>
            <w:shd w:val="clear" w:color="000000" w:fill="DCE6F1"/>
            <w:noWrap/>
            <w:vAlign w:val="center"/>
            <w:hideMark/>
          </w:tcPr>
          <w:p w:rsidR="00EC16B7" w:rsidRPr="00EC16B7" w:rsidRDefault="00EC16B7" w:rsidP="00EC16B7">
            <w:pPr>
              <w:spacing w:after="0" w:line="240" w:lineRule="auto"/>
              <w:jc w:val="right"/>
              <w:rPr>
                <w:rFonts w:ascii="Arial" w:eastAsia="Times New Roman" w:hAnsi="Arial" w:cs="Arial"/>
                <w:color w:val="000000"/>
                <w:sz w:val="16"/>
                <w:szCs w:val="16"/>
                <w:lang w:eastAsia="hr-HR"/>
              </w:rPr>
            </w:pPr>
            <w:r w:rsidRPr="00EC16B7">
              <w:rPr>
                <w:rFonts w:ascii="Arial" w:eastAsia="Times New Roman" w:hAnsi="Arial" w:cs="Arial"/>
                <w:color w:val="000000"/>
                <w:sz w:val="16"/>
                <w:szCs w:val="16"/>
                <w:lang w:eastAsia="hr-HR"/>
              </w:rPr>
              <w:t>481,534</w:t>
            </w:r>
          </w:p>
        </w:tc>
      </w:tr>
      <w:tr w:rsidR="00EC16B7" w:rsidRPr="00EC16B7" w:rsidTr="00EC16B7">
        <w:trPr>
          <w:trHeight w:val="300"/>
        </w:trPr>
        <w:tc>
          <w:tcPr>
            <w:tcW w:w="1356" w:type="dxa"/>
            <w:tcBorders>
              <w:top w:val="nil"/>
              <w:left w:val="single" w:sz="4" w:space="0" w:color="000080"/>
              <w:bottom w:val="single" w:sz="4" w:space="0" w:color="000080"/>
              <w:right w:val="single" w:sz="4" w:space="0" w:color="000080"/>
            </w:tcBorders>
            <w:shd w:val="clear" w:color="auto" w:fill="auto"/>
            <w:noWrap/>
            <w:vAlign w:val="center"/>
            <w:hideMark/>
          </w:tcPr>
          <w:p w:rsidR="00EC16B7" w:rsidRPr="00EC16B7" w:rsidRDefault="00EC16B7" w:rsidP="00EC16B7">
            <w:pPr>
              <w:spacing w:after="0" w:line="240" w:lineRule="auto"/>
              <w:ind w:firstLineChars="200" w:firstLine="320"/>
              <w:rPr>
                <w:rFonts w:ascii="Arial" w:eastAsia="Times New Roman" w:hAnsi="Arial" w:cs="Arial"/>
                <w:sz w:val="16"/>
                <w:szCs w:val="16"/>
                <w:lang w:eastAsia="hr-HR"/>
              </w:rPr>
            </w:pPr>
            <w:r w:rsidRPr="00EC16B7">
              <w:rPr>
                <w:rFonts w:ascii="Arial" w:eastAsia="Times New Roman" w:hAnsi="Arial" w:cs="Arial"/>
                <w:sz w:val="16"/>
                <w:szCs w:val="16"/>
                <w:lang w:eastAsia="hr-HR"/>
              </w:rPr>
              <w:t>- 1+2+8</w:t>
            </w:r>
          </w:p>
        </w:tc>
        <w:tc>
          <w:tcPr>
            <w:tcW w:w="954" w:type="dxa"/>
            <w:tcBorders>
              <w:top w:val="nil"/>
              <w:left w:val="nil"/>
              <w:bottom w:val="single" w:sz="4" w:space="0" w:color="000080"/>
              <w:right w:val="single" w:sz="4" w:space="0" w:color="000080"/>
            </w:tcBorders>
            <w:shd w:val="clear" w:color="auto" w:fill="auto"/>
            <w:noWrap/>
            <w:vAlign w:val="center"/>
            <w:hideMark/>
          </w:tcPr>
          <w:p w:rsidR="00EC16B7" w:rsidRPr="00EC16B7" w:rsidRDefault="00EC16B7" w:rsidP="00EC16B7">
            <w:pPr>
              <w:spacing w:after="0" w:line="240" w:lineRule="auto"/>
              <w:jc w:val="right"/>
              <w:rPr>
                <w:rFonts w:ascii="Arial" w:eastAsia="Times New Roman" w:hAnsi="Arial" w:cs="Arial"/>
                <w:b/>
                <w:color w:val="000000"/>
                <w:sz w:val="16"/>
                <w:szCs w:val="16"/>
                <w:lang w:eastAsia="hr-HR"/>
              </w:rPr>
            </w:pPr>
            <w:r w:rsidRPr="00EC16B7">
              <w:rPr>
                <w:rFonts w:ascii="Arial" w:eastAsia="Times New Roman" w:hAnsi="Arial" w:cs="Arial"/>
                <w:b/>
                <w:color w:val="000000"/>
                <w:sz w:val="16"/>
                <w:szCs w:val="16"/>
                <w:lang w:eastAsia="hr-HR"/>
              </w:rPr>
              <w:t>651,924</w:t>
            </w:r>
          </w:p>
        </w:tc>
        <w:tc>
          <w:tcPr>
            <w:tcW w:w="955" w:type="dxa"/>
            <w:tcBorders>
              <w:top w:val="nil"/>
              <w:left w:val="nil"/>
              <w:bottom w:val="single" w:sz="4" w:space="0" w:color="000080"/>
              <w:right w:val="single" w:sz="4" w:space="0" w:color="000080"/>
            </w:tcBorders>
            <w:shd w:val="clear" w:color="auto" w:fill="auto"/>
            <w:noWrap/>
            <w:vAlign w:val="center"/>
            <w:hideMark/>
          </w:tcPr>
          <w:p w:rsidR="00EC16B7" w:rsidRPr="00EC16B7" w:rsidRDefault="00EC16B7" w:rsidP="00EC16B7">
            <w:pPr>
              <w:spacing w:after="0" w:line="240" w:lineRule="auto"/>
              <w:jc w:val="right"/>
              <w:rPr>
                <w:rFonts w:ascii="Arial" w:eastAsia="Times New Roman" w:hAnsi="Arial" w:cs="Arial"/>
                <w:color w:val="000000"/>
                <w:sz w:val="16"/>
                <w:szCs w:val="16"/>
                <w:lang w:eastAsia="hr-HR"/>
              </w:rPr>
            </w:pPr>
            <w:r w:rsidRPr="00EC16B7">
              <w:rPr>
                <w:rFonts w:ascii="Arial" w:eastAsia="Times New Roman" w:hAnsi="Arial" w:cs="Arial"/>
                <w:color w:val="000000"/>
                <w:sz w:val="16"/>
                <w:szCs w:val="16"/>
                <w:lang w:eastAsia="hr-HR"/>
              </w:rPr>
              <w:t>182,651</w:t>
            </w:r>
          </w:p>
        </w:tc>
        <w:tc>
          <w:tcPr>
            <w:tcW w:w="956" w:type="dxa"/>
            <w:tcBorders>
              <w:top w:val="nil"/>
              <w:left w:val="nil"/>
              <w:bottom w:val="single" w:sz="4" w:space="0" w:color="000080"/>
              <w:right w:val="single" w:sz="4" w:space="0" w:color="000080"/>
            </w:tcBorders>
            <w:shd w:val="clear" w:color="auto" w:fill="auto"/>
            <w:noWrap/>
            <w:vAlign w:val="center"/>
            <w:hideMark/>
          </w:tcPr>
          <w:p w:rsidR="00EC16B7" w:rsidRPr="00EC16B7" w:rsidRDefault="00EC16B7" w:rsidP="00EC16B7">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Pr="00EC16B7">
              <w:rPr>
                <w:rFonts w:ascii="Arial" w:eastAsia="Times New Roman" w:hAnsi="Arial" w:cs="Arial"/>
                <w:color w:val="000000"/>
                <w:sz w:val="16"/>
                <w:szCs w:val="16"/>
                <w:lang w:eastAsia="hr-HR"/>
              </w:rPr>
              <w:t>,312</w:t>
            </w:r>
          </w:p>
        </w:tc>
        <w:tc>
          <w:tcPr>
            <w:tcW w:w="955" w:type="dxa"/>
            <w:tcBorders>
              <w:top w:val="nil"/>
              <w:left w:val="nil"/>
              <w:bottom w:val="single" w:sz="4" w:space="0" w:color="000080"/>
              <w:right w:val="single" w:sz="4" w:space="0" w:color="000080"/>
            </w:tcBorders>
            <w:shd w:val="clear" w:color="auto" w:fill="auto"/>
            <w:noWrap/>
            <w:vAlign w:val="center"/>
            <w:hideMark/>
          </w:tcPr>
          <w:p w:rsidR="00EC16B7" w:rsidRPr="00EC16B7" w:rsidRDefault="00EC16B7" w:rsidP="00EC16B7">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Pr="00EC16B7">
              <w:rPr>
                <w:rFonts w:ascii="Arial" w:eastAsia="Times New Roman" w:hAnsi="Arial" w:cs="Arial"/>
                <w:color w:val="000000"/>
                <w:sz w:val="16"/>
                <w:szCs w:val="16"/>
                <w:lang w:eastAsia="hr-HR"/>
              </w:rPr>
              <w:t>,322</w:t>
            </w:r>
          </w:p>
        </w:tc>
        <w:tc>
          <w:tcPr>
            <w:tcW w:w="957" w:type="dxa"/>
            <w:tcBorders>
              <w:top w:val="nil"/>
              <w:left w:val="nil"/>
              <w:bottom w:val="single" w:sz="4" w:space="0" w:color="000080"/>
              <w:right w:val="single" w:sz="4" w:space="0" w:color="000080"/>
            </w:tcBorders>
            <w:shd w:val="clear" w:color="auto" w:fill="auto"/>
            <w:noWrap/>
            <w:vAlign w:val="center"/>
            <w:hideMark/>
          </w:tcPr>
          <w:p w:rsidR="00EC16B7" w:rsidRPr="00EC16B7" w:rsidRDefault="00EC16B7" w:rsidP="00EC16B7">
            <w:pPr>
              <w:spacing w:after="0" w:line="240" w:lineRule="auto"/>
              <w:jc w:val="right"/>
              <w:rPr>
                <w:rFonts w:ascii="Arial" w:eastAsia="Times New Roman" w:hAnsi="Arial" w:cs="Arial"/>
                <w:color w:val="000000"/>
                <w:sz w:val="16"/>
                <w:szCs w:val="16"/>
                <w:lang w:eastAsia="hr-HR"/>
              </w:rPr>
            </w:pPr>
            <w:r w:rsidRPr="00EC16B7">
              <w:rPr>
                <w:rFonts w:ascii="Arial" w:eastAsia="Times New Roman" w:hAnsi="Arial" w:cs="Arial"/>
                <w:color w:val="000000"/>
                <w:sz w:val="16"/>
                <w:szCs w:val="16"/>
                <w:lang w:eastAsia="hr-HR"/>
              </w:rPr>
              <w:t>8,187</w:t>
            </w:r>
          </w:p>
        </w:tc>
        <w:tc>
          <w:tcPr>
            <w:tcW w:w="954" w:type="dxa"/>
            <w:tcBorders>
              <w:top w:val="nil"/>
              <w:left w:val="nil"/>
              <w:bottom w:val="single" w:sz="4" w:space="0" w:color="000080"/>
              <w:right w:val="single" w:sz="4" w:space="0" w:color="000080"/>
            </w:tcBorders>
            <w:shd w:val="clear" w:color="auto" w:fill="auto"/>
            <w:noWrap/>
            <w:vAlign w:val="center"/>
            <w:hideMark/>
          </w:tcPr>
          <w:p w:rsidR="00EC16B7" w:rsidRPr="00EC16B7" w:rsidRDefault="00EC16B7" w:rsidP="00EC16B7">
            <w:pPr>
              <w:spacing w:after="0" w:line="240" w:lineRule="auto"/>
              <w:jc w:val="right"/>
              <w:rPr>
                <w:rFonts w:ascii="Arial" w:eastAsia="Times New Roman" w:hAnsi="Arial" w:cs="Arial"/>
                <w:color w:val="000000"/>
                <w:sz w:val="16"/>
                <w:szCs w:val="16"/>
                <w:lang w:eastAsia="hr-HR"/>
              </w:rPr>
            </w:pPr>
            <w:r w:rsidRPr="00EC16B7">
              <w:rPr>
                <w:rFonts w:ascii="Arial" w:eastAsia="Times New Roman" w:hAnsi="Arial" w:cs="Arial"/>
                <w:color w:val="000000"/>
                <w:sz w:val="16"/>
                <w:szCs w:val="16"/>
                <w:lang w:eastAsia="hr-HR"/>
              </w:rPr>
              <w:t>51,855</w:t>
            </w:r>
          </w:p>
        </w:tc>
        <w:tc>
          <w:tcPr>
            <w:tcW w:w="953" w:type="dxa"/>
            <w:tcBorders>
              <w:top w:val="nil"/>
              <w:left w:val="nil"/>
              <w:bottom w:val="single" w:sz="4" w:space="0" w:color="000080"/>
              <w:right w:val="single" w:sz="4" w:space="0" w:color="000080"/>
            </w:tcBorders>
            <w:shd w:val="clear" w:color="auto" w:fill="auto"/>
            <w:noWrap/>
            <w:vAlign w:val="center"/>
            <w:hideMark/>
          </w:tcPr>
          <w:p w:rsidR="00EC16B7" w:rsidRPr="00EC16B7" w:rsidRDefault="00EC16B7" w:rsidP="00EC16B7">
            <w:pPr>
              <w:spacing w:after="0" w:line="240" w:lineRule="auto"/>
              <w:jc w:val="right"/>
              <w:rPr>
                <w:rFonts w:ascii="Arial" w:eastAsia="Times New Roman" w:hAnsi="Arial" w:cs="Arial"/>
                <w:color w:val="000000"/>
                <w:sz w:val="16"/>
                <w:szCs w:val="16"/>
                <w:lang w:eastAsia="hr-HR"/>
              </w:rPr>
            </w:pPr>
            <w:r w:rsidRPr="00EC16B7">
              <w:rPr>
                <w:rFonts w:ascii="Arial" w:eastAsia="Times New Roman" w:hAnsi="Arial" w:cs="Arial"/>
                <w:color w:val="000000"/>
                <w:sz w:val="16"/>
                <w:szCs w:val="16"/>
                <w:lang w:eastAsia="hr-HR"/>
              </w:rPr>
              <w:t>29,053</w:t>
            </w:r>
          </w:p>
        </w:tc>
        <w:tc>
          <w:tcPr>
            <w:tcW w:w="1000" w:type="dxa"/>
            <w:tcBorders>
              <w:top w:val="nil"/>
              <w:left w:val="nil"/>
              <w:bottom w:val="single" w:sz="4" w:space="0" w:color="000080"/>
              <w:right w:val="single" w:sz="4" w:space="0" w:color="000080"/>
            </w:tcBorders>
            <w:shd w:val="clear" w:color="auto" w:fill="auto"/>
            <w:noWrap/>
            <w:vAlign w:val="center"/>
            <w:hideMark/>
          </w:tcPr>
          <w:p w:rsidR="00EC16B7" w:rsidRPr="00EC16B7" w:rsidRDefault="00EC16B7" w:rsidP="00EC16B7">
            <w:pPr>
              <w:spacing w:after="0" w:line="240" w:lineRule="auto"/>
              <w:jc w:val="right"/>
              <w:rPr>
                <w:rFonts w:ascii="Arial" w:eastAsia="Times New Roman" w:hAnsi="Arial" w:cs="Arial"/>
                <w:color w:val="000000"/>
                <w:sz w:val="16"/>
                <w:szCs w:val="16"/>
                <w:lang w:eastAsia="hr-HR"/>
              </w:rPr>
            </w:pPr>
            <w:r w:rsidRPr="00EC16B7">
              <w:rPr>
                <w:rFonts w:ascii="Arial" w:eastAsia="Times New Roman" w:hAnsi="Arial" w:cs="Arial"/>
                <w:color w:val="000000"/>
                <w:sz w:val="16"/>
                <w:szCs w:val="16"/>
                <w:lang w:eastAsia="hr-HR"/>
              </w:rPr>
              <w:t>379,545</w:t>
            </w:r>
          </w:p>
        </w:tc>
      </w:tr>
      <w:tr w:rsidR="00EC16B7" w:rsidRPr="00EC16B7" w:rsidTr="00EC16B7">
        <w:trPr>
          <w:trHeight w:val="300"/>
        </w:trPr>
        <w:tc>
          <w:tcPr>
            <w:tcW w:w="1356" w:type="dxa"/>
            <w:tcBorders>
              <w:top w:val="nil"/>
              <w:left w:val="single" w:sz="4" w:space="0" w:color="000080"/>
              <w:bottom w:val="single" w:sz="4" w:space="0" w:color="000080"/>
              <w:right w:val="single" w:sz="4" w:space="0" w:color="000080"/>
            </w:tcBorders>
            <w:shd w:val="clear" w:color="auto" w:fill="auto"/>
            <w:noWrap/>
            <w:vAlign w:val="center"/>
            <w:hideMark/>
          </w:tcPr>
          <w:p w:rsidR="00EC16B7" w:rsidRPr="00EC16B7" w:rsidRDefault="00EC16B7" w:rsidP="00EC16B7">
            <w:pPr>
              <w:spacing w:after="0" w:line="240" w:lineRule="auto"/>
              <w:ind w:firstLineChars="200" w:firstLine="320"/>
              <w:rPr>
                <w:rFonts w:ascii="Arial" w:eastAsia="Times New Roman" w:hAnsi="Arial" w:cs="Arial"/>
                <w:sz w:val="16"/>
                <w:szCs w:val="16"/>
                <w:lang w:eastAsia="hr-HR"/>
              </w:rPr>
            </w:pPr>
            <w:r w:rsidRPr="00EC16B7">
              <w:rPr>
                <w:rFonts w:ascii="Arial" w:eastAsia="Times New Roman" w:hAnsi="Arial" w:cs="Arial"/>
                <w:sz w:val="16"/>
                <w:szCs w:val="16"/>
                <w:lang w:eastAsia="hr-HR"/>
              </w:rPr>
              <w:t>- ostali izvori</w:t>
            </w:r>
          </w:p>
        </w:tc>
        <w:tc>
          <w:tcPr>
            <w:tcW w:w="954" w:type="dxa"/>
            <w:tcBorders>
              <w:top w:val="nil"/>
              <w:left w:val="nil"/>
              <w:bottom w:val="single" w:sz="4" w:space="0" w:color="000080"/>
              <w:right w:val="single" w:sz="4" w:space="0" w:color="000080"/>
            </w:tcBorders>
            <w:shd w:val="clear" w:color="auto" w:fill="auto"/>
            <w:noWrap/>
            <w:vAlign w:val="center"/>
            <w:hideMark/>
          </w:tcPr>
          <w:p w:rsidR="00EC16B7" w:rsidRPr="00EC16B7" w:rsidRDefault="00EC16B7" w:rsidP="00EC16B7">
            <w:pPr>
              <w:spacing w:after="0" w:line="240" w:lineRule="auto"/>
              <w:jc w:val="right"/>
              <w:rPr>
                <w:rFonts w:ascii="Arial" w:eastAsia="Times New Roman" w:hAnsi="Arial" w:cs="Arial"/>
                <w:b/>
                <w:color w:val="000000"/>
                <w:sz w:val="16"/>
                <w:szCs w:val="16"/>
                <w:lang w:eastAsia="hr-HR"/>
              </w:rPr>
            </w:pPr>
            <w:r w:rsidRPr="00EC16B7">
              <w:rPr>
                <w:rFonts w:ascii="Arial" w:eastAsia="Times New Roman" w:hAnsi="Arial" w:cs="Arial"/>
                <w:b/>
                <w:color w:val="000000"/>
                <w:sz w:val="16"/>
                <w:szCs w:val="16"/>
                <w:lang w:eastAsia="hr-HR"/>
              </w:rPr>
              <w:t>113,068</w:t>
            </w:r>
          </w:p>
        </w:tc>
        <w:tc>
          <w:tcPr>
            <w:tcW w:w="955" w:type="dxa"/>
            <w:tcBorders>
              <w:top w:val="nil"/>
              <w:left w:val="nil"/>
              <w:bottom w:val="single" w:sz="4" w:space="0" w:color="000080"/>
              <w:right w:val="single" w:sz="4" w:space="0" w:color="000080"/>
            </w:tcBorders>
            <w:shd w:val="clear" w:color="auto" w:fill="auto"/>
            <w:noWrap/>
            <w:vAlign w:val="center"/>
            <w:hideMark/>
          </w:tcPr>
          <w:p w:rsidR="00EC16B7" w:rsidRPr="00EC16B7" w:rsidRDefault="00EC16B7" w:rsidP="00EC16B7">
            <w:pPr>
              <w:spacing w:after="0" w:line="240" w:lineRule="auto"/>
              <w:jc w:val="right"/>
              <w:rPr>
                <w:rFonts w:ascii="Arial" w:eastAsia="Times New Roman" w:hAnsi="Arial" w:cs="Arial"/>
                <w:color w:val="000000"/>
                <w:sz w:val="16"/>
                <w:szCs w:val="16"/>
                <w:lang w:eastAsia="hr-HR"/>
              </w:rPr>
            </w:pPr>
            <w:r w:rsidRPr="00EC16B7">
              <w:rPr>
                <w:rFonts w:ascii="Arial" w:eastAsia="Times New Roman" w:hAnsi="Arial" w:cs="Arial"/>
                <w:color w:val="000000"/>
                <w:sz w:val="16"/>
                <w:szCs w:val="16"/>
                <w:lang w:eastAsia="hr-HR"/>
              </w:rPr>
              <w:t>9,581</w:t>
            </w:r>
          </w:p>
        </w:tc>
        <w:tc>
          <w:tcPr>
            <w:tcW w:w="956" w:type="dxa"/>
            <w:tcBorders>
              <w:top w:val="nil"/>
              <w:left w:val="nil"/>
              <w:bottom w:val="single" w:sz="4" w:space="0" w:color="000080"/>
              <w:right w:val="single" w:sz="4" w:space="0" w:color="000080"/>
            </w:tcBorders>
            <w:shd w:val="clear" w:color="auto" w:fill="auto"/>
            <w:noWrap/>
            <w:vAlign w:val="center"/>
            <w:hideMark/>
          </w:tcPr>
          <w:p w:rsidR="00EC16B7" w:rsidRPr="00EC16B7" w:rsidRDefault="00EC16B7" w:rsidP="00EC16B7">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Pr="00EC16B7">
              <w:rPr>
                <w:rFonts w:ascii="Arial" w:eastAsia="Times New Roman" w:hAnsi="Arial" w:cs="Arial"/>
                <w:color w:val="000000"/>
                <w:sz w:val="16"/>
                <w:szCs w:val="16"/>
                <w:lang w:eastAsia="hr-HR"/>
              </w:rPr>
              <w:t>,033</w:t>
            </w:r>
          </w:p>
        </w:tc>
        <w:tc>
          <w:tcPr>
            <w:tcW w:w="955" w:type="dxa"/>
            <w:tcBorders>
              <w:top w:val="nil"/>
              <w:left w:val="nil"/>
              <w:bottom w:val="single" w:sz="4" w:space="0" w:color="000080"/>
              <w:right w:val="single" w:sz="4" w:space="0" w:color="000080"/>
            </w:tcBorders>
            <w:shd w:val="clear" w:color="auto" w:fill="auto"/>
            <w:noWrap/>
            <w:vAlign w:val="center"/>
            <w:hideMark/>
          </w:tcPr>
          <w:p w:rsidR="00EC16B7" w:rsidRPr="00EC16B7" w:rsidRDefault="00EC16B7" w:rsidP="00EC16B7">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Pr="00EC16B7">
              <w:rPr>
                <w:rFonts w:ascii="Arial" w:eastAsia="Times New Roman" w:hAnsi="Arial" w:cs="Arial"/>
                <w:color w:val="000000"/>
                <w:sz w:val="16"/>
                <w:szCs w:val="16"/>
                <w:lang w:eastAsia="hr-HR"/>
              </w:rPr>
              <w:t>,129</w:t>
            </w:r>
          </w:p>
        </w:tc>
        <w:tc>
          <w:tcPr>
            <w:tcW w:w="957" w:type="dxa"/>
            <w:tcBorders>
              <w:top w:val="nil"/>
              <w:left w:val="nil"/>
              <w:bottom w:val="single" w:sz="4" w:space="0" w:color="000080"/>
              <w:right w:val="single" w:sz="4" w:space="0" w:color="000080"/>
            </w:tcBorders>
            <w:shd w:val="clear" w:color="auto" w:fill="auto"/>
            <w:noWrap/>
            <w:vAlign w:val="center"/>
            <w:hideMark/>
          </w:tcPr>
          <w:p w:rsidR="00EC16B7" w:rsidRPr="00EC16B7" w:rsidRDefault="00EC16B7" w:rsidP="00EC16B7">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Pr="00EC16B7">
              <w:rPr>
                <w:rFonts w:ascii="Arial" w:eastAsia="Times New Roman" w:hAnsi="Arial" w:cs="Arial"/>
                <w:color w:val="000000"/>
                <w:sz w:val="16"/>
                <w:szCs w:val="16"/>
                <w:lang w:eastAsia="hr-HR"/>
              </w:rPr>
              <w:t>,243</w:t>
            </w:r>
          </w:p>
        </w:tc>
        <w:tc>
          <w:tcPr>
            <w:tcW w:w="954" w:type="dxa"/>
            <w:tcBorders>
              <w:top w:val="nil"/>
              <w:left w:val="nil"/>
              <w:bottom w:val="single" w:sz="4" w:space="0" w:color="000080"/>
              <w:right w:val="single" w:sz="4" w:space="0" w:color="000080"/>
            </w:tcBorders>
            <w:shd w:val="clear" w:color="auto" w:fill="auto"/>
            <w:noWrap/>
            <w:vAlign w:val="center"/>
            <w:hideMark/>
          </w:tcPr>
          <w:p w:rsidR="00EC16B7" w:rsidRPr="00EC16B7" w:rsidRDefault="00EC16B7" w:rsidP="00EC16B7">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Pr="00EC16B7">
              <w:rPr>
                <w:rFonts w:ascii="Arial" w:eastAsia="Times New Roman" w:hAnsi="Arial" w:cs="Arial"/>
                <w:color w:val="000000"/>
                <w:sz w:val="16"/>
                <w:szCs w:val="16"/>
                <w:lang w:eastAsia="hr-HR"/>
              </w:rPr>
              <w:t>,407</w:t>
            </w:r>
          </w:p>
        </w:tc>
        <w:tc>
          <w:tcPr>
            <w:tcW w:w="953" w:type="dxa"/>
            <w:tcBorders>
              <w:top w:val="nil"/>
              <w:left w:val="nil"/>
              <w:bottom w:val="single" w:sz="4" w:space="0" w:color="000080"/>
              <w:right w:val="single" w:sz="4" w:space="0" w:color="000080"/>
            </w:tcBorders>
            <w:shd w:val="clear" w:color="auto" w:fill="auto"/>
            <w:noWrap/>
            <w:vAlign w:val="center"/>
            <w:hideMark/>
          </w:tcPr>
          <w:p w:rsidR="00EC16B7" w:rsidRPr="00EC16B7" w:rsidRDefault="00EC16B7" w:rsidP="00EC16B7">
            <w:pPr>
              <w:spacing w:after="0" w:line="240" w:lineRule="auto"/>
              <w:jc w:val="right"/>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0</w:t>
            </w:r>
            <w:r w:rsidRPr="00EC16B7">
              <w:rPr>
                <w:rFonts w:ascii="Arial" w:eastAsia="Times New Roman" w:hAnsi="Arial" w:cs="Arial"/>
                <w:color w:val="000000"/>
                <w:sz w:val="16"/>
                <w:szCs w:val="16"/>
                <w:lang w:eastAsia="hr-HR"/>
              </w:rPr>
              <w:t>,686</w:t>
            </w:r>
          </w:p>
        </w:tc>
        <w:tc>
          <w:tcPr>
            <w:tcW w:w="1000" w:type="dxa"/>
            <w:tcBorders>
              <w:top w:val="nil"/>
              <w:left w:val="nil"/>
              <w:bottom w:val="single" w:sz="4" w:space="0" w:color="000080"/>
              <w:right w:val="single" w:sz="4" w:space="0" w:color="000080"/>
            </w:tcBorders>
            <w:shd w:val="clear" w:color="auto" w:fill="auto"/>
            <w:noWrap/>
            <w:vAlign w:val="center"/>
            <w:hideMark/>
          </w:tcPr>
          <w:p w:rsidR="00EC16B7" w:rsidRPr="00EC16B7" w:rsidRDefault="00EC16B7" w:rsidP="00EC16B7">
            <w:pPr>
              <w:spacing w:after="0" w:line="240" w:lineRule="auto"/>
              <w:jc w:val="right"/>
              <w:rPr>
                <w:rFonts w:ascii="Arial" w:eastAsia="Times New Roman" w:hAnsi="Arial" w:cs="Arial"/>
                <w:color w:val="000000"/>
                <w:sz w:val="16"/>
                <w:szCs w:val="16"/>
                <w:lang w:eastAsia="hr-HR"/>
              </w:rPr>
            </w:pPr>
            <w:r w:rsidRPr="00EC16B7">
              <w:rPr>
                <w:rFonts w:ascii="Arial" w:eastAsia="Times New Roman" w:hAnsi="Arial" w:cs="Arial"/>
                <w:color w:val="000000"/>
                <w:sz w:val="16"/>
                <w:szCs w:val="16"/>
                <w:lang w:eastAsia="hr-HR"/>
              </w:rPr>
              <w:t>101,989</w:t>
            </w:r>
          </w:p>
        </w:tc>
      </w:tr>
    </w:tbl>
    <w:p w:rsidR="00EC16B7" w:rsidRDefault="00EC16B7" w:rsidP="00BF6C52">
      <w:pPr>
        <w:spacing w:after="0" w:line="240" w:lineRule="auto"/>
        <w:rPr>
          <w:rFonts w:ascii="Times New Roman" w:hAnsi="Times New Roman" w:cs="Times New Roman"/>
        </w:rPr>
      </w:pPr>
    </w:p>
    <w:p w:rsidR="004F19FD" w:rsidRPr="00BF6C52" w:rsidRDefault="004F19FD" w:rsidP="004F19FD">
      <w:pPr>
        <w:shd w:val="clear" w:color="auto" w:fill="FFFFFF"/>
        <w:spacing w:after="0" w:line="240" w:lineRule="auto"/>
        <w:ind w:firstLine="360"/>
        <w:jc w:val="both"/>
        <w:rPr>
          <w:rFonts w:ascii="Times New Roman" w:hAnsi="Times New Roman" w:cs="Times New Roman"/>
          <w:u w:val="single"/>
        </w:rPr>
      </w:pPr>
      <w:r w:rsidRPr="00BF6C52">
        <w:rPr>
          <w:rFonts w:ascii="Times New Roman" w:hAnsi="Times New Roman" w:cs="Times New Roman"/>
          <w:u w:val="single"/>
        </w:rPr>
        <w:t>Mjere za smanjenje odnosno optimizaciju rashoda:</w:t>
      </w:r>
    </w:p>
    <w:p w:rsidR="00A72D37" w:rsidRPr="00BF6C52" w:rsidRDefault="00A72D37" w:rsidP="00922D60">
      <w:pPr>
        <w:pStyle w:val="Odlomakpopisa"/>
        <w:numPr>
          <w:ilvl w:val="0"/>
          <w:numId w:val="25"/>
        </w:numPr>
        <w:shd w:val="clear" w:color="auto" w:fill="FFFFFF"/>
        <w:spacing w:after="0" w:line="240" w:lineRule="auto"/>
        <w:jc w:val="both"/>
        <w:rPr>
          <w:rFonts w:ascii="Times New Roman" w:hAnsi="Times New Roman" w:cs="Times New Roman"/>
        </w:rPr>
      </w:pPr>
      <w:r w:rsidRPr="00BF6C52">
        <w:rPr>
          <w:rFonts w:ascii="Times New Roman" w:hAnsi="Times New Roman" w:cs="Times New Roman"/>
        </w:rPr>
        <w:t xml:space="preserve">Optimizacija/standardizacija proizvoda i usluga i ostvarivanja ušteda u javnoj potrošnji  kroz učinkoviti sustav središnje javne nabave </w:t>
      </w:r>
    </w:p>
    <w:p w:rsidR="00B70278" w:rsidRPr="008D3243" w:rsidRDefault="00B70278" w:rsidP="00842272">
      <w:pPr>
        <w:shd w:val="clear" w:color="auto" w:fill="FFFFFF"/>
        <w:spacing w:after="0" w:line="240" w:lineRule="auto"/>
        <w:jc w:val="both"/>
        <w:rPr>
          <w:rFonts w:ascii="Times New Roman" w:hAnsi="Times New Roman" w:cs="Times New Roman"/>
        </w:rPr>
      </w:pPr>
      <w:r w:rsidRPr="008D3243">
        <w:rPr>
          <w:rFonts w:ascii="Times New Roman" w:hAnsi="Times New Roman" w:cs="Times New Roman"/>
        </w:rPr>
        <w:t>Sukladno Uredbi o unutarnjem ustrojstvu Državnog ureda</w:t>
      </w:r>
      <w:r w:rsidR="008D3243">
        <w:rPr>
          <w:rFonts w:ascii="Times New Roman" w:hAnsi="Times New Roman" w:cs="Times New Roman"/>
        </w:rPr>
        <w:t xml:space="preserve"> za središnju javnu nabavu</w:t>
      </w:r>
      <w:r w:rsidRPr="008D3243">
        <w:rPr>
          <w:rFonts w:ascii="Times New Roman" w:hAnsi="Times New Roman" w:cs="Times New Roman"/>
        </w:rPr>
        <w:t xml:space="preserve"> obveznici središnje javne nabave su u pravilu 34 tijela državne uprave za 17 nabavnih kategorija od kojih se jedna odnosi na čišćenje prostorija. U 2014. godini proveden je postupak za nabavu usluge čišćenja čija je procjena vrijednost bila 14,5 mil. kuna, a ostvarene su uštede od 48</w:t>
      </w:r>
      <w:r w:rsidR="00A04047">
        <w:rPr>
          <w:rFonts w:ascii="Times New Roman" w:hAnsi="Times New Roman" w:cs="Times New Roman"/>
        </w:rPr>
        <w:t>%</w:t>
      </w:r>
      <w:r w:rsidRPr="008D3243">
        <w:rPr>
          <w:rFonts w:ascii="Times New Roman" w:hAnsi="Times New Roman" w:cs="Times New Roman"/>
        </w:rPr>
        <w:t xml:space="preserve"> navedenog iznosa. U 2015. godini procijenjena vrijednost nabave usluge čišćenja iznosi 47 mil. kuna, a ostvarene su uštede od </w:t>
      </w:r>
      <w:proofErr w:type="spellStart"/>
      <w:r w:rsidRPr="008D3243">
        <w:rPr>
          <w:rFonts w:ascii="Times New Roman" w:hAnsi="Times New Roman" w:cs="Times New Roman"/>
        </w:rPr>
        <w:t>cca</w:t>
      </w:r>
      <w:proofErr w:type="spellEnd"/>
      <w:r w:rsidRPr="008D3243">
        <w:rPr>
          <w:rFonts w:ascii="Times New Roman" w:hAnsi="Times New Roman" w:cs="Times New Roman"/>
        </w:rPr>
        <w:t xml:space="preserve"> 50</w:t>
      </w:r>
      <w:r w:rsidR="000E3D55">
        <w:rPr>
          <w:rFonts w:ascii="Times New Roman" w:hAnsi="Times New Roman" w:cs="Times New Roman"/>
        </w:rPr>
        <w:t>%</w:t>
      </w:r>
      <w:r w:rsidRPr="008D3243">
        <w:rPr>
          <w:rFonts w:ascii="Times New Roman" w:hAnsi="Times New Roman" w:cs="Times New Roman"/>
        </w:rPr>
        <w:t xml:space="preserve"> navedenog iznosa. Provedenim se postupcima očekuju dodatni učinci kroz smanjenje učestalosti (dinamike) čišćenja prostorija. </w:t>
      </w:r>
    </w:p>
    <w:p w:rsidR="00B70278" w:rsidRPr="008D3243" w:rsidRDefault="00B70278" w:rsidP="00842272">
      <w:pPr>
        <w:shd w:val="clear" w:color="auto" w:fill="FFFFFF"/>
        <w:spacing w:after="0" w:line="240" w:lineRule="auto"/>
        <w:jc w:val="both"/>
        <w:rPr>
          <w:rFonts w:ascii="Times New Roman" w:hAnsi="Times New Roman" w:cs="Times New Roman"/>
        </w:rPr>
      </w:pPr>
      <w:r w:rsidRPr="008D3243">
        <w:rPr>
          <w:rFonts w:ascii="Times New Roman" w:hAnsi="Times New Roman" w:cs="Times New Roman"/>
        </w:rPr>
        <w:t xml:space="preserve">S obzirom na različitu strukturu potencijalnih ponuditelja na tržištu, u slučaju objedinjene nabave,  preporučljivo </w:t>
      </w:r>
      <w:r w:rsidR="000E3D55">
        <w:rPr>
          <w:rFonts w:ascii="Times New Roman" w:hAnsi="Times New Roman" w:cs="Times New Roman"/>
        </w:rPr>
        <w:t xml:space="preserve">je </w:t>
      </w:r>
      <w:r w:rsidRPr="008D3243">
        <w:rPr>
          <w:rFonts w:ascii="Times New Roman" w:hAnsi="Times New Roman" w:cs="Times New Roman"/>
        </w:rPr>
        <w:t>usluge nabavljati po regijama kako bi se omogućilo sudjelovanje većeg broja gospodarskih subjekata posebice manjih ponuditelja.</w:t>
      </w:r>
    </w:p>
    <w:p w:rsidR="00B70278" w:rsidRPr="008C4032" w:rsidRDefault="00B70278" w:rsidP="00CF4D30">
      <w:pPr>
        <w:shd w:val="clear" w:color="auto" w:fill="FFFFFF"/>
        <w:spacing w:line="240" w:lineRule="auto"/>
        <w:jc w:val="both"/>
        <w:rPr>
          <w:rFonts w:ascii="Times New Roman" w:hAnsi="Times New Roman" w:cs="Times New Roman"/>
        </w:rPr>
      </w:pPr>
      <w:r w:rsidRPr="008D3243">
        <w:rPr>
          <w:rFonts w:ascii="Times New Roman" w:hAnsi="Times New Roman" w:cs="Times New Roman"/>
        </w:rPr>
        <w:t xml:space="preserve">Provedbom postupaka središnje javne nabave ostvarene su značajne uštede u odnosu na prosječnu tržišnu cijenu. Cijena čišćenja razlikuje se ovisno o prostoru koji se čisti i području na kojem se nalazi, </w:t>
      </w:r>
      <w:r w:rsidRPr="008C4032">
        <w:rPr>
          <w:rFonts w:ascii="Times New Roman" w:hAnsi="Times New Roman" w:cs="Times New Roman"/>
        </w:rPr>
        <w:t>primjer na području grada Zagreba:</w:t>
      </w:r>
    </w:p>
    <w:tbl>
      <w:tblPr>
        <w:tblStyle w:val="Reetkatablice"/>
        <w:tblpPr w:leftFromText="180" w:rightFromText="180" w:vertAnchor="text" w:horzAnchor="page" w:tblpX="1813" w:tblpY="35"/>
        <w:tblW w:w="0" w:type="auto"/>
        <w:tblLook w:val="04A0" w:firstRow="1" w:lastRow="0" w:firstColumn="1" w:lastColumn="0" w:noHBand="0" w:noVBand="1"/>
      </w:tblPr>
      <w:tblGrid>
        <w:gridCol w:w="2459"/>
        <w:gridCol w:w="1869"/>
        <w:gridCol w:w="1943"/>
      </w:tblGrid>
      <w:tr w:rsidR="00CF4D30" w:rsidRPr="008D3243" w:rsidTr="00CF4D30">
        <w:tc>
          <w:tcPr>
            <w:tcW w:w="0" w:type="auto"/>
            <w:vAlign w:val="center"/>
          </w:tcPr>
          <w:p w:rsidR="00CF4D30" w:rsidRPr="008D3243" w:rsidRDefault="00CF4D30" w:rsidP="00CF4D30">
            <w:pPr>
              <w:jc w:val="center"/>
              <w:rPr>
                <w:rFonts w:ascii="Times New Roman" w:hAnsi="Times New Roman" w:cs="Times New Roman"/>
              </w:rPr>
            </w:pPr>
            <w:r w:rsidRPr="008D3243">
              <w:rPr>
                <w:rFonts w:ascii="Times New Roman" w:hAnsi="Times New Roman" w:cs="Times New Roman"/>
              </w:rPr>
              <w:t>Vrsta usluge čišćenja</w:t>
            </w:r>
          </w:p>
        </w:tc>
        <w:tc>
          <w:tcPr>
            <w:tcW w:w="0" w:type="auto"/>
            <w:vAlign w:val="center"/>
          </w:tcPr>
          <w:p w:rsidR="00CF4D30" w:rsidRPr="006B7B79" w:rsidRDefault="00CF4D30" w:rsidP="00A04047">
            <w:pPr>
              <w:jc w:val="center"/>
              <w:rPr>
                <w:rFonts w:ascii="Times New Roman" w:hAnsi="Times New Roman" w:cs="Times New Roman"/>
                <w:vertAlign w:val="superscript"/>
              </w:rPr>
            </w:pPr>
            <w:r w:rsidRPr="008D3243">
              <w:rPr>
                <w:rFonts w:ascii="Times New Roman" w:hAnsi="Times New Roman" w:cs="Times New Roman"/>
              </w:rPr>
              <w:t>Tržišna cijena / m</w:t>
            </w:r>
            <w:r w:rsidR="00A04047">
              <w:rPr>
                <w:rFonts w:ascii="Times New Roman" w:hAnsi="Times New Roman" w:cs="Times New Roman"/>
                <w:vertAlign w:val="superscript"/>
              </w:rPr>
              <w:t>2</w:t>
            </w:r>
          </w:p>
        </w:tc>
        <w:tc>
          <w:tcPr>
            <w:tcW w:w="0" w:type="auto"/>
            <w:vAlign w:val="center"/>
          </w:tcPr>
          <w:p w:rsidR="00CF4D30" w:rsidRPr="006B7B79" w:rsidRDefault="00CF4D30" w:rsidP="00A04047">
            <w:pPr>
              <w:jc w:val="center"/>
              <w:rPr>
                <w:rFonts w:ascii="Times New Roman" w:hAnsi="Times New Roman" w:cs="Times New Roman"/>
                <w:vertAlign w:val="superscript"/>
              </w:rPr>
            </w:pPr>
            <w:r w:rsidRPr="008D3243">
              <w:rPr>
                <w:rFonts w:ascii="Times New Roman" w:hAnsi="Times New Roman" w:cs="Times New Roman"/>
              </w:rPr>
              <w:t>Cijena DUSJN / m</w:t>
            </w:r>
            <w:r w:rsidR="00A04047">
              <w:rPr>
                <w:rFonts w:ascii="Times New Roman" w:hAnsi="Times New Roman" w:cs="Times New Roman"/>
                <w:vertAlign w:val="superscript"/>
              </w:rPr>
              <w:t>2</w:t>
            </w:r>
          </w:p>
        </w:tc>
      </w:tr>
      <w:tr w:rsidR="00CF4D30" w:rsidRPr="008D3243" w:rsidTr="00CF4D30">
        <w:tc>
          <w:tcPr>
            <w:tcW w:w="0" w:type="auto"/>
          </w:tcPr>
          <w:p w:rsidR="00CF4D30" w:rsidRPr="008D3243" w:rsidRDefault="00CF4D30" w:rsidP="00CF4D30">
            <w:pPr>
              <w:jc w:val="both"/>
              <w:rPr>
                <w:rFonts w:ascii="Times New Roman" w:hAnsi="Times New Roman" w:cs="Times New Roman"/>
              </w:rPr>
            </w:pPr>
            <w:r w:rsidRPr="008D3243">
              <w:rPr>
                <w:rFonts w:ascii="Times New Roman" w:hAnsi="Times New Roman" w:cs="Times New Roman"/>
              </w:rPr>
              <w:t>Uredi, uredski prostori</w:t>
            </w:r>
          </w:p>
        </w:tc>
        <w:tc>
          <w:tcPr>
            <w:tcW w:w="0" w:type="auto"/>
            <w:vAlign w:val="center"/>
          </w:tcPr>
          <w:p w:rsidR="00CF4D30" w:rsidRPr="008D3243" w:rsidRDefault="00CF4D30" w:rsidP="00CF4D30">
            <w:pPr>
              <w:jc w:val="center"/>
              <w:rPr>
                <w:rFonts w:ascii="Times New Roman" w:hAnsi="Times New Roman" w:cs="Times New Roman"/>
              </w:rPr>
            </w:pPr>
            <w:r w:rsidRPr="008D3243">
              <w:rPr>
                <w:rFonts w:ascii="Times New Roman" w:hAnsi="Times New Roman" w:cs="Times New Roman"/>
              </w:rPr>
              <w:t>0,21</w:t>
            </w:r>
          </w:p>
        </w:tc>
        <w:tc>
          <w:tcPr>
            <w:tcW w:w="0" w:type="auto"/>
            <w:vAlign w:val="center"/>
          </w:tcPr>
          <w:p w:rsidR="00CF4D30" w:rsidRPr="008D3243" w:rsidRDefault="00CF4D30" w:rsidP="00CF4D30">
            <w:pPr>
              <w:jc w:val="center"/>
              <w:rPr>
                <w:rFonts w:ascii="Times New Roman" w:hAnsi="Times New Roman" w:cs="Times New Roman"/>
              </w:rPr>
            </w:pPr>
            <w:r w:rsidRPr="008D3243">
              <w:rPr>
                <w:rFonts w:ascii="Times New Roman" w:hAnsi="Times New Roman" w:cs="Times New Roman"/>
              </w:rPr>
              <w:t>0,14</w:t>
            </w:r>
          </w:p>
        </w:tc>
      </w:tr>
      <w:tr w:rsidR="00CF4D30" w:rsidRPr="008D3243" w:rsidTr="00CF4D30">
        <w:tc>
          <w:tcPr>
            <w:tcW w:w="0" w:type="auto"/>
          </w:tcPr>
          <w:p w:rsidR="00CF4D30" w:rsidRPr="008D3243" w:rsidRDefault="00CF4D30" w:rsidP="00CF4D30">
            <w:pPr>
              <w:jc w:val="both"/>
              <w:rPr>
                <w:rFonts w:ascii="Times New Roman" w:hAnsi="Times New Roman" w:cs="Times New Roman"/>
              </w:rPr>
            </w:pPr>
            <w:r w:rsidRPr="008D3243">
              <w:rPr>
                <w:rFonts w:ascii="Times New Roman" w:hAnsi="Times New Roman" w:cs="Times New Roman"/>
              </w:rPr>
              <w:t>Sanitarni prostori</w:t>
            </w:r>
          </w:p>
        </w:tc>
        <w:tc>
          <w:tcPr>
            <w:tcW w:w="0" w:type="auto"/>
            <w:vAlign w:val="center"/>
          </w:tcPr>
          <w:p w:rsidR="00CF4D30" w:rsidRPr="008D3243" w:rsidRDefault="00CF4D30" w:rsidP="00CF4D30">
            <w:pPr>
              <w:jc w:val="center"/>
              <w:rPr>
                <w:rFonts w:ascii="Times New Roman" w:hAnsi="Times New Roman" w:cs="Times New Roman"/>
              </w:rPr>
            </w:pPr>
            <w:r w:rsidRPr="008D3243">
              <w:rPr>
                <w:rFonts w:ascii="Times New Roman" w:hAnsi="Times New Roman" w:cs="Times New Roman"/>
              </w:rPr>
              <w:t>0,30</w:t>
            </w:r>
          </w:p>
        </w:tc>
        <w:tc>
          <w:tcPr>
            <w:tcW w:w="0" w:type="auto"/>
            <w:vAlign w:val="center"/>
          </w:tcPr>
          <w:p w:rsidR="00CF4D30" w:rsidRPr="008D3243" w:rsidRDefault="00CF4D30" w:rsidP="00CF4D30">
            <w:pPr>
              <w:jc w:val="center"/>
              <w:rPr>
                <w:rFonts w:ascii="Times New Roman" w:hAnsi="Times New Roman" w:cs="Times New Roman"/>
              </w:rPr>
            </w:pPr>
            <w:r w:rsidRPr="008D3243">
              <w:rPr>
                <w:rFonts w:ascii="Times New Roman" w:hAnsi="Times New Roman" w:cs="Times New Roman"/>
              </w:rPr>
              <w:t>0,28</w:t>
            </w:r>
          </w:p>
        </w:tc>
      </w:tr>
      <w:tr w:rsidR="00CF4D30" w:rsidRPr="008D3243" w:rsidTr="00CF4D30">
        <w:tc>
          <w:tcPr>
            <w:tcW w:w="0" w:type="auto"/>
          </w:tcPr>
          <w:p w:rsidR="00CF4D30" w:rsidRPr="008D3243" w:rsidRDefault="00CF4D30" w:rsidP="00CF4D30">
            <w:pPr>
              <w:jc w:val="both"/>
              <w:rPr>
                <w:rFonts w:ascii="Times New Roman" w:hAnsi="Times New Roman" w:cs="Times New Roman"/>
              </w:rPr>
            </w:pPr>
            <w:r w:rsidRPr="008D3243">
              <w:rPr>
                <w:rFonts w:ascii="Times New Roman" w:hAnsi="Times New Roman" w:cs="Times New Roman"/>
              </w:rPr>
              <w:t>Hodnici, ulazni prostori</w:t>
            </w:r>
          </w:p>
        </w:tc>
        <w:tc>
          <w:tcPr>
            <w:tcW w:w="0" w:type="auto"/>
            <w:vAlign w:val="center"/>
          </w:tcPr>
          <w:p w:rsidR="00CF4D30" w:rsidRPr="008D3243" w:rsidRDefault="00CF4D30" w:rsidP="00CF4D30">
            <w:pPr>
              <w:jc w:val="center"/>
              <w:rPr>
                <w:rFonts w:ascii="Times New Roman" w:hAnsi="Times New Roman" w:cs="Times New Roman"/>
              </w:rPr>
            </w:pPr>
            <w:r w:rsidRPr="008D3243">
              <w:rPr>
                <w:rFonts w:ascii="Times New Roman" w:hAnsi="Times New Roman" w:cs="Times New Roman"/>
              </w:rPr>
              <w:t>0,18</w:t>
            </w:r>
          </w:p>
        </w:tc>
        <w:tc>
          <w:tcPr>
            <w:tcW w:w="0" w:type="auto"/>
            <w:vAlign w:val="center"/>
          </w:tcPr>
          <w:p w:rsidR="00CF4D30" w:rsidRPr="008D3243" w:rsidRDefault="00CF4D30" w:rsidP="00CF4D30">
            <w:pPr>
              <w:jc w:val="center"/>
              <w:rPr>
                <w:rFonts w:ascii="Times New Roman" w:hAnsi="Times New Roman" w:cs="Times New Roman"/>
              </w:rPr>
            </w:pPr>
            <w:r w:rsidRPr="008D3243">
              <w:rPr>
                <w:rFonts w:ascii="Times New Roman" w:hAnsi="Times New Roman" w:cs="Times New Roman"/>
              </w:rPr>
              <w:t>0,08</w:t>
            </w:r>
          </w:p>
        </w:tc>
      </w:tr>
      <w:tr w:rsidR="00CF4D30" w:rsidRPr="008D3243" w:rsidTr="00CF4D30">
        <w:tc>
          <w:tcPr>
            <w:tcW w:w="0" w:type="auto"/>
          </w:tcPr>
          <w:p w:rsidR="00CF4D30" w:rsidRPr="008D3243" w:rsidRDefault="00CF4D30" w:rsidP="00CF4D30">
            <w:pPr>
              <w:jc w:val="both"/>
              <w:rPr>
                <w:rFonts w:ascii="Times New Roman" w:hAnsi="Times New Roman" w:cs="Times New Roman"/>
              </w:rPr>
            </w:pPr>
            <w:r w:rsidRPr="008D3243">
              <w:rPr>
                <w:rFonts w:ascii="Times New Roman" w:hAnsi="Times New Roman" w:cs="Times New Roman"/>
              </w:rPr>
              <w:t>Čajne kuhinje</w:t>
            </w:r>
          </w:p>
        </w:tc>
        <w:tc>
          <w:tcPr>
            <w:tcW w:w="0" w:type="auto"/>
            <w:vAlign w:val="center"/>
          </w:tcPr>
          <w:p w:rsidR="00CF4D30" w:rsidRPr="008D3243" w:rsidRDefault="00CF4D30" w:rsidP="00CF4D30">
            <w:pPr>
              <w:jc w:val="center"/>
              <w:rPr>
                <w:rFonts w:ascii="Times New Roman" w:hAnsi="Times New Roman" w:cs="Times New Roman"/>
              </w:rPr>
            </w:pPr>
            <w:r w:rsidRPr="008D3243">
              <w:rPr>
                <w:rFonts w:ascii="Times New Roman" w:hAnsi="Times New Roman" w:cs="Times New Roman"/>
              </w:rPr>
              <w:t>0,23</w:t>
            </w:r>
          </w:p>
        </w:tc>
        <w:tc>
          <w:tcPr>
            <w:tcW w:w="0" w:type="auto"/>
            <w:vAlign w:val="center"/>
          </w:tcPr>
          <w:p w:rsidR="00CF4D30" w:rsidRPr="008D3243" w:rsidRDefault="00CF4D30" w:rsidP="00CF4D30">
            <w:pPr>
              <w:jc w:val="center"/>
              <w:rPr>
                <w:rFonts w:ascii="Times New Roman" w:hAnsi="Times New Roman" w:cs="Times New Roman"/>
              </w:rPr>
            </w:pPr>
            <w:r w:rsidRPr="008D3243">
              <w:rPr>
                <w:rFonts w:ascii="Times New Roman" w:hAnsi="Times New Roman" w:cs="Times New Roman"/>
              </w:rPr>
              <w:t>0,14</w:t>
            </w:r>
          </w:p>
        </w:tc>
      </w:tr>
      <w:tr w:rsidR="00CF4D30" w:rsidRPr="008D3243" w:rsidTr="00CF4D30">
        <w:tc>
          <w:tcPr>
            <w:tcW w:w="0" w:type="auto"/>
          </w:tcPr>
          <w:p w:rsidR="00CF4D30" w:rsidRPr="008D3243" w:rsidRDefault="00CF4D30" w:rsidP="00CF4D30">
            <w:pPr>
              <w:jc w:val="both"/>
              <w:rPr>
                <w:rFonts w:ascii="Times New Roman" w:hAnsi="Times New Roman" w:cs="Times New Roman"/>
              </w:rPr>
            </w:pPr>
            <w:r w:rsidRPr="008D3243">
              <w:rPr>
                <w:rFonts w:ascii="Times New Roman" w:hAnsi="Times New Roman" w:cs="Times New Roman"/>
              </w:rPr>
              <w:t>Terase i vanjske površine</w:t>
            </w:r>
          </w:p>
        </w:tc>
        <w:tc>
          <w:tcPr>
            <w:tcW w:w="0" w:type="auto"/>
            <w:vAlign w:val="center"/>
          </w:tcPr>
          <w:p w:rsidR="00CF4D30" w:rsidRPr="008D3243" w:rsidRDefault="00CF4D30" w:rsidP="00CF4D30">
            <w:pPr>
              <w:jc w:val="center"/>
              <w:rPr>
                <w:rFonts w:ascii="Times New Roman" w:hAnsi="Times New Roman" w:cs="Times New Roman"/>
              </w:rPr>
            </w:pPr>
            <w:r w:rsidRPr="008D3243">
              <w:rPr>
                <w:rFonts w:ascii="Times New Roman" w:hAnsi="Times New Roman" w:cs="Times New Roman"/>
              </w:rPr>
              <w:t>0,16</w:t>
            </w:r>
          </w:p>
        </w:tc>
        <w:tc>
          <w:tcPr>
            <w:tcW w:w="0" w:type="auto"/>
            <w:vAlign w:val="center"/>
          </w:tcPr>
          <w:p w:rsidR="00CF4D30" w:rsidRPr="008D3243" w:rsidRDefault="00CF4D30" w:rsidP="00CF4D30">
            <w:pPr>
              <w:jc w:val="center"/>
              <w:rPr>
                <w:rFonts w:ascii="Times New Roman" w:hAnsi="Times New Roman" w:cs="Times New Roman"/>
              </w:rPr>
            </w:pPr>
            <w:r w:rsidRPr="008D3243">
              <w:rPr>
                <w:rFonts w:ascii="Times New Roman" w:hAnsi="Times New Roman" w:cs="Times New Roman"/>
              </w:rPr>
              <w:t>0,10</w:t>
            </w:r>
          </w:p>
        </w:tc>
      </w:tr>
    </w:tbl>
    <w:p w:rsidR="00B70278" w:rsidRPr="008D3243" w:rsidRDefault="00B70278" w:rsidP="00B70278">
      <w:pPr>
        <w:shd w:val="clear" w:color="auto" w:fill="FFFFFF"/>
        <w:jc w:val="both"/>
        <w:rPr>
          <w:rFonts w:ascii="Times New Roman" w:hAnsi="Times New Roman" w:cs="Times New Roman"/>
        </w:rPr>
      </w:pPr>
    </w:p>
    <w:p w:rsidR="00B70278" w:rsidRPr="008D3243" w:rsidRDefault="00B70278" w:rsidP="00B70278">
      <w:pPr>
        <w:shd w:val="clear" w:color="auto" w:fill="FFFFFF"/>
        <w:jc w:val="both"/>
        <w:rPr>
          <w:rFonts w:ascii="Times New Roman" w:hAnsi="Times New Roman" w:cs="Times New Roman"/>
        </w:rPr>
      </w:pPr>
    </w:p>
    <w:p w:rsidR="00B70278" w:rsidRPr="008D3243" w:rsidRDefault="00B70278" w:rsidP="00B70278">
      <w:pPr>
        <w:shd w:val="clear" w:color="auto" w:fill="FFFFFF"/>
        <w:jc w:val="both"/>
        <w:rPr>
          <w:rFonts w:ascii="Times New Roman" w:hAnsi="Times New Roman" w:cs="Times New Roman"/>
        </w:rPr>
      </w:pPr>
    </w:p>
    <w:p w:rsidR="00007E94" w:rsidRDefault="00007E94" w:rsidP="00752182">
      <w:pPr>
        <w:spacing w:line="240" w:lineRule="auto"/>
        <w:jc w:val="both"/>
        <w:rPr>
          <w:rFonts w:ascii="Times New Roman" w:hAnsi="Times New Roman" w:cs="Times New Roman"/>
        </w:rPr>
      </w:pPr>
    </w:p>
    <w:p w:rsidR="00556D7A" w:rsidRPr="00D63EBE" w:rsidRDefault="00556D7A" w:rsidP="008C4032">
      <w:pPr>
        <w:pStyle w:val="Odlomakpopisa"/>
        <w:numPr>
          <w:ilvl w:val="0"/>
          <w:numId w:val="25"/>
        </w:numPr>
        <w:spacing w:line="240" w:lineRule="auto"/>
        <w:ind w:left="0" w:firstLine="360"/>
        <w:jc w:val="both"/>
        <w:rPr>
          <w:rFonts w:ascii="Times New Roman" w:hAnsi="Times New Roman" w:cs="Times New Roman"/>
        </w:rPr>
      </w:pPr>
      <w:r w:rsidRPr="00D63EBE">
        <w:rPr>
          <w:rFonts w:ascii="Times New Roman" w:hAnsi="Times New Roman" w:cs="Times New Roman"/>
        </w:rPr>
        <w:t>Izraditi uputu vezano za rashode koji se trenutno evidentiraju na ostalim nespomenutim uslugama, a koji nisu ispravno klasificirani.</w:t>
      </w:r>
    </w:p>
    <w:p w:rsidR="00D538A5" w:rsidRPr="00FA7F54" w:rsidRDefault="00DB089D" w:rsidP="00922D60">
      <w:pPr>
        <w:pStyle w:val="Naslov1"/>
        <w:numPr>
          <w:ilvl w:val="0"/>
          <w:numId w:val="4"/>
        </w:numPr>
        <w:ind w:left="567" w:hanging="567"/>
        <w:rPr>
          <w:rFonts w:ascii="Times New Roman" w:hAnsi="Times New Roman" w:cs="Times New Roman"/>
          <w:color w:val="auto"/>
          <w:sz w:val="22"/>
          <w:szCs w:val="22"/>
        </w:rPr>
      </w:pPr>
      <w:bookmarkStart w:id="106" w:name="_Toc434411197"/>
      <w:bookmarkStart w:id="107" w:name="_Toc436402340"/>
      <w:r w:rsidRPr="00FA7F54">
        <w:rPr>
          <w:rFonts w:ascii="Times New Roman" w:hAnsi="Times New Roman" w:cs="Times New Roman"/>
          <w:color w:val="auto"/>
          <w:sz w:val="22"/>
          <w:szCs w:val="22"/>
        </w:rPr>
        <w:t>NAKNADE TROŠKOVA OSOBAMA IZVAN RADNOG ODNOSA (3241)</w:t>
      </w:r>
      <w:bookmarkEnd w:id="106"/>
      <w:bookmarkEnd w:id="107"/>
    </w:p>
    <w:p w:rsidR="00597272" w:rsidRPr="00FA7F54" w:rsidRDefault="00597272" w:rsidP="00597272">
      <w:pPr>
        <w:spacing w:line="240" w:lineRule="auto"/>
        <w:jc w:val="both"/>
        <w:rPr>
          <w:rFonts w:ascii="Times New Roman" w:hAnsi="Times New Roman" w:cs="Times New Roman"/>
        </w:rPr>
      </w:pPr>
      <w:r w:rsidRPr="00FA7F54">
        <w:rPr>
          <w:rFonts w:ascii="Times New Roman" w:hAnsi="Times New Roman" w:cs="Times New Roman"/>
        </w:rPr>
        <w:t>Prema iskazanim podacima u financijskim izvještajima rashodi za naknade troškova osobama izvan radnog odnosa u 2013. godini iznosili su 51,</w:t>
      </w:r>
      <w:r w:rsidR="00A408A8">
        <w:rPr>
          <w:rFonts w:ascii="Times New Roman" w:hAnsi="Times New Roman" w:cs="Times New Roman"/>
        </w:rPr>
        <w:t>6</w:t>
      </w:r>
      <w:r w:rsidRPr="00FA7F54">
        <w:rPr>
          <w:rFonts w:ascii="Times New Roman" w:hAnsi="Times New Roman" w:cs="Times New Roman"/>
        </w:rPr>
        <w:t xml:space="preserve"> mil. kuna, a u 2014. godini 67,1 mil. kuna. U državnom proračunu za 2015. godinu planirano je 29,9 mil. kuna navedenih rashoda od čega se 19,6 mil. </w:t>
      </w:r>
      <w:r w:rsidR="00A408A8">
        <w:rPr>
          <w:rFonts w:ascii="Times New Roman" w:hAnsi="Times New Roman" w:cs="Times New Roman"/>
        </w:rPr>
        <w:t xml:space="preserve">kuna </w:t>
      </w:r>
      <w:r w:rsidRPr="00FA7F54">
        <w:rPr>
          <w:rFonts w:ascii="Times New Roman" w:hAnsi="Times New Roman" w:cs="Times New Roman"/>
        </w:rPr>
        <w:t>financira iz izvora u limitu.</w:t>
      </w:r>
    </w:p>
    <w:p w:rsidR="00597272" w:rsidRPr="00FA7F54" w:rsidRDefault="00597272" w:rsidP="00597272">
      <w:pPr>
        <w:spacing w:line="240" w:lineRule="auto"/>
        <w:rPr>
          <w:rFonts w:ascii="Times New Roman" w:hAnsi="Times New Roman" w:cs="Times New Roman"/>
        </w:rPr>
      </w:pPr>
      <w:r w:rsidRPr="00FA7F54">
        <w:rPr>
          <w:rFonts w:ascii="Times New Roman" w:hAnsi="Times New Roman" w:cs="Times New Roman"/>
        </w:rPr>
        <w:t>Najveći dio rashoda odnosi se na proračunske korisnike u visokom obrazovanju.</w:t>
      </w:r>
    </w:p>
    <w:p w:rsidR="00360125" w:rsidRDefault="00360125" w:rsidP="00490E9D">
      <w:pPr>
        <w:pStyle w:val="Opisslike"/>
        <w:spacing w:after="0"/>
        <w:rPr>
          <w:sz w:val="20"/>
          <w:szCs w:val="20"/>
        </w:rPr>
      </w:pPr>
    </w:p>
    <w:p w:rsidR="00360125" w:rsidRDefault="00360125" w:rsidP="00490E9D">
      <w:pPr>
        <w:pStyle w:val="Opisslike"/>
        <w:spacing w:after="0"/>
        <w:rPr>
          <w:sz w:val="20"/>
          <w:szCs w:val="20"/>
        </w:rPr>
      </w:pPr>
    </w:p>
    <w:p w:rsidR="00360125" w:rsidRDefault="00360125" w:rsidP="00490E9D">
      <w:pPr>
        <w:pStyle w:val="Opisslike"/>
        <w:spacing w:after="0"/>
        <w:rPr>
          <w:sz w:val="20"/>
          <w:szCs w:val="20"/>
        </w:rPr>
      </w:pPr>
    </w:p>
    <w:p w:rsidR="00360125" w:rsidRDefault="00360125" w:rsidP="00490E9D">
      <w:pPr>
        <w:pStyle w:val="Opisslike"/>
        <w:spacing w:after="0"/>
        <w:rPr>
          <w:sz w:val="20"/>
          <w:szCs w:val="20"/>
        </w:rPr>
      </w:pPr>
    </w:p>
    <w:p w:rsidR="00360125" w:rsidRDefault="00360125" w:rsidP="00490E9D">
      <w:pPr>
        <w:pStyle w:val="Opisslike"/>
        <w:spacing w:after="0"/>
        <w:rPr>
          <w:sz w:val="20"/>
          <w:szCs w:val="20"/>
        </w:rPr>
      </w:pPr>
    </w:p>
    <w:p w:rsidR="00360125" w:rsidRDefault="00360125" w:rsidP="00490E9D">
      <w:pPr>
        <w:pStyle w:val="Opisslike"/>
        <w:spacing w:after="0"/>
        <w:rPr>
          <w:sz w:val="20"/>
          <w:szCs w:val="20"/>
        </w:rPr>
      </w:pPr>
    </w:p>
    <w:p w:rsidR="00DB089D" w:rsidRPr="00A408A8" w:rsidRDefault="009835A2" w:rsidP="006B7B79">
      <w:pPr>
        <w:pStyle w:val="Opisslike"/>
        <w:spacing w:after="0"/>
        <w:jc w:val="both"/>
        <w:rPr>
          <w:rFonts w:ascii="Times New Roman" w:hAnsi="Times New Roman" w:cs="Times New Roman"/>
          <w:sz w:val="20"/>
          <w:szCs w:val="20"/>
        </w:rPr>
      </w:pPr>
      <w:bookmarkStart w:id="108" w:name="_Toc436402298"/>
      <w:r w:rsidRPr="006B7B79">
        <w:rPr>
          <w:rFonts w:ascii="Times New Roman" w:hAnsi="Times New Roman" w:cs="Times New Roman"/>
          <w:sz w:val="20"/>
          <w:szCs w:val="20"/>
        </w:rPr>
        <w:lastRenderedPageBreak/>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51</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490E9D" w:rsidRPr="006B7B79">
        <w:rPr>
          <w:rFonts w:ascii="Times New Roman" w:hAnsi="Times New Roman" w:cs="Times New Roman"/>
          <w:sz w:val="20"/>
          <w:szCs w:val="20"/>
        </w:rPr>
        <w:t xml:space="preserve"> Naknade troškova osobama izvan radnog odnosa prema podacima iskazanim u financijskim izvještajima proračunskih i izvanproračunskih korisnika za 2013. i 2014. godinu te planu Državnog proračuna za 2015. godinu</w:t>
      </w:r>
      <w:bookmarkEnd w:id="108"/>
    </w:p>
    <w:p w:rsidR="00DB089D" w:rsidRPr="00FA7F54" w:rsidRDefault="00225743" w:rsidP="00C83540">
      <w:pPr>
        <w:spacing w:line="240" w:lineRule="auto"/>
        <w:rPr>
          <w:rFonts w:ascii="Times New Roman" w:hAnsi="Times New Roman" w:cs="Times New Roman"/>
        </w:rPr>
      </w:pPr>
      <w:r w:rsidRPr="00225743">
        <w:rPr>
          <w:noProof/>
          <w:lang w:eastAsia="hr-HR"/>
        </w:rPr>
        <w:drawing>
          <wp:inline distT="0" distB="0" distL="0" distR="0" wp14:anchorId="5B297B51" wp14:editId="616CA9F1">
            <wp:extent cx="5724525" cy="3314700"/>
            <wp:effectExtent l="0" t="0" r="9525" b="0"/>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4525" cy="3314700"/>
                    </a:xfrm>
                    <a:prstGeom prst="rect">
                      <a:avLst/>
                    </a:prstGeom>
                    <a:noFill/>
                    <a:ln>
                      <a:noFill/>
                    </a:ln>
                  </pic:spPr>
                </pic:pic>
              </a:graphicData>
            </a:graphic>
          </wp:inline>
        </w:drawing>
      </w:r>
    </w:p>
    <w:p w:rsidR="002B120E" w:rsidRPr="00A408A8" w:rsidRDefault="009835A2" w:rsidP="006B7B79">
      <w:pPr>
        <w:pStyle w:val="Opisslike"/>
        <w:spacing w:after="0"/>
        <w:jc w:val="both"/>
        <w:rPr>
          <w:rFonts w:ascii="Times New Roman" w:hAnsi="Times New Roman" w:cs="Times New Roman"/>
          <w:sz w:val="20"/>
          <w:szCs w:val="20"/>
        </w:rPr>
      </w:pPr>
      <w:bookmarkStart w:id="109" w:name="_Toc436402299"/>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52</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490E9D" w:rsidRPr="006B7B79">
        <w:rPr>
          <w:rFonts w:ascii="Times New Roman" w:hAnsi="Times New Roman" w:cs="Times New Roman"/>
          <w:sz w:val="20"/>
          <w:szCs w:val="20"/>
        </w:rPr>
        <w:t xml:space="preserve"> Naknade troškova osobama izvan radnog odnosa prema podacima iskazanim u državnom proračunu – izvršenje za 2014. (u mil.)</w:t>
      </w:r>
      <w:bookmarkEnd w:id="109"/>
    </w:p>
    <w:tbl>
      <w:tblPr>
        <w:tblW w:w="5118" w:type="dxa"/>
        <w:jc w:val="center"/>
        <w:tblInd w:w="93" w:type="dxa"/>
        <w:tblLook w:val="04A0" w:firstRow="1" w:lastRow="0" w:firstColumn="1" w:lastColumn="0" w:noHBand="0" w:noVBand="1"/>
      </w:tblPr>
      <w:tblGrid>
        <w:gridCol w:w="1360"/>
        <w:gridCol w:w="1349"/>
        <w:gridCol w:w="1275"/>
        <w:gridCol w:w="1134"/>
      </w:tblGrid>
      <w:tr w:rsidR="00E64F4D" w:rsidRPr="00DE18F6" w:rsidTr="00A408A8">
        <w:trPr>
          <w:trHeight w:val="859"/>
          <w:jc w:val="center"/>
        </w:trPr>
        <w:tc>
          <w:tcPr>
            <w:tcW w:w="1360"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E64F4D" w:rsidRPr="00DE18F6" w:rsidRDefault="00E64F4D" w:rsidP="00A408A8">
            <w:pPr>
              <w:spacing w:after="0" w:line="240" w:lineRule="auto"/>
              <w:jc w:val="center"/>
              <w:rPr>
                <w:rFonts w:ascii="Arial" w:eastAsia="Times New Roman" w:hAnsi="Arial" w:cs="Arial"/>
                <w:b/>
                <w:bCs/>
                <w:sz w:val="16"/>
                <w:szCs w:val="16"/>
                <w:lang w:eastAsia="hr-HR"/>
              </w:rPr>
            </w:pPr>
            <w:r w:rsidRPr="00DE18F6">
              <w:rPr>
                <w:rFonts w:ascii="Arial" w:eastAsia="Times New Roman" w:hAnsi="Arial" w:cs="Arial"/>
                <w:b/>
                <w:bCs/>
                <w:sz w:val="16"/>
                <w:szCs w:val="16"/>
                <w:lang w:eastAsia="hr-HR"/>
              </w:rPr>
              <w:t>Izvršenje 2014.</w:t>
            </w:r>
          </w:p>
        </w:tc>
        <w:tc>
          <w:tcPr>
            <w:tcW w:w="1349" w:type="dxa"/>
            <w:tcBorders>
              <w:top w:val="single" w:sz="4" w:space="0" w:color="000080"/>
              <w:left w:val="nil"/>
              <w:bottom w:val="single" w:sz="4" w:space="0" w:color="000080"/>
              <w:right w:val="single" w:sz="4" w:space="0" w:color="000080"/>
            </w:tcBorders>
            <w:shd w:val="clear" w:color="000000" w:fill="DCE6F1"/>
            <w:vAlign w:val="center"/>
            <w:hideMark/>
          </w:tcPr>
          <w:p w:rsidR="00E64F4D" w:rsidRPr="00DE18F6" w:rsidRDefault="00E64F4D" w:rsidP="00A408A8">
            <w:pPr>
              <w:spacing w:after="0" w:line="240" w:lineRule="auto"/>
              <w:jc w:val="center"/>
              <w:rPr>
                <w:rFonts w:ascii="Arial" w:eastAsia="Times New Roman" w:hAnsi="Arial" w:cs="Arial"/>
                <w:color w:val="000000"/>
                <w:sz w:val="16"/>
                <w:szCs w:val="16"/>
                <w:lang w:eastAsia="hr-HR"/>
              </w:rPr>
            </w:pPr>
            <w:r w:rsidRPr="00DE18F6">
              <w:rPr>
                <w:rFonts w:ascii="Arial" w:eastAsia="Times New Roman" w:hAnsi="Arial" w:cs="Arial"/>
                <w:color w:val="000000"/>
                <w:sz w:val="16"/>
                <w:szCs w:val="16"/>
                <w:lang w:eastAsia="hr-HR"/>
              </w:rPr>
              <w:t>Naknade troškova osobama izvan radnog odnosa</w:t>
            </w:r>
          </w:p>
        </w:tc>
        <w:tc>
          <w:tcPr>
            <w:tcW w:w="1275" w:type="dxa"/>
            <w:tcBorders>
              <w:top w:val="single" w:sz="4" w:space="0" w:color="000080"/>
              <w:left w:val="nil"/>
              <w:bottom w:val="single" w:sz="4" w:space="0" w:color="000080"/>
              <w:right w:val="single" w:sz="4" w:space="0" w:color="000080"/>
            </w:tcBorders>
            <w:shd w:val="clear" w:color="000000" w:fill="DCE6F1"/>
            <w:vAlign w:val="center"/>
            <w:hideMark/>
          </w:tcPr>
          <w:p w:rsidR="00E64F4D" w:rsidRPr="00DE18F6" w:rsidRDefault="00E64F4D" w:rsidP="00A408A8">
            <w:pPr>
              <w:spacing w:after="0" w:line="240" w:lineRule="auto"/>
              <w:jc w:val="center"/>
              <w:rPr>
                <w:rFonts w:ascii="Arial" w:eastAsia="Times New Roman" w:hAnsi="Arial" w:cs="Arial"/>
                <w:color w:val="000000"/>
                <w:sz w:val="16"/>
                <w:szCs w:val="16"/>
                <w:lang w:eastAsia="hr-HR"/>
              </w:rPr>
            </w:pPr>
            <w:r w:rsidRPr="00DE18F6">
              <w:rPr>
                <w:rFonts w:ascii="Arial" w:eastAsia="Times New Roman" w:hAnsi="Arial" w:cs="Arial"/>
                <w:color w:val="000000"/>
                <w:sz w:val="16"/>
                <w:szCs w:val="16"/>
                <w:lang w:eastAsia="hr-HR"/>
              </w:rPr>
              <w:t>Naknade troškova službenog puta</w:t>
            </w:r>
          </w:p>
        </w:tc>
        <w:tc>
          <w:tcPr>
            <w:tcW w:w="1134" w:type="dxa"/>
            <w:tcBorders>
              <w:top w:val="single" w:sz="4" w:space="0" w:color="000080"/>
              <w:left w:val="nil"/>
              <w:bottom w:val="single" w:sz="4" w:space="0" w:color="000080"/>
              <w:right w:val="single" w:sz="4" w:space="0" w:color="000080"/>
            </w:tcBorders>
            <w:shd w:val="clear" w:color="000000" w:fill="DCE6F1"/>
            <w:vAlign w:val="center"/>
            <w:hideMark/>
          </w:tcPr>
          <w:p w:rsidR="00E64F4D" w:rsidRPr="00DE18F6" w:rsidRDefault="00E64F4D" w:rsidP="00A408A8">
            <w:pPr>
              <w:spacing w:after="0" w:line="240" w:lineRule="auto"/>
              <w:jc w:val="center"/>
              <w:rPr>
                <w:rFonts w:ascii="Arial" w:eastAsia="Times New Roman" w:hAnsi="Arial" w:cs="Arial"/>
                <w:color w:val="000000"/>
                <w:sz w:val="16"/>
                <w:szCs w:val="16"/>
                <w:lang w:eastAsia="hr-HR"/>
              </w:rPr>
            </w:pPr>
            <w:r w:rsidRPr="00DE18F6">
              <w:rPr>
                <w:rFonts w:ascii="Arial" w:eastAsia="Times New Roman" w:hAnsi="Arial" w:cs="Arial"/>
                <w:color w:val="000000"/>
                <w:sz w:val="16"/>
                <w:szCs w:val="16"/>
                <w:lang w:eastAsia="hr-HR"/>
              </w:rPr>
              <w:t>Naknade ostalih troškova</w:t>
            </w:r>
          </w:p>
        </w:tc>
      </w:tr>
      <w:tr w:rsidR="00E64F4D" w:rsidRPr="00DE18F6" w:rsidTr="00A408A8">
        <w:trPr>
          <w:trHeight w:val="300"/>
          <w:jc w:val="center"/>
        </w:trPr>
        <w:tc>
          <w:tcPr>
            <w:tcW w:w="1360" w:type="dxa"/>
            <w:tcBorders>
              <w:top w:val="nil"/>
              <w:left w:val="single" w:sz="4" w:space="0" w:color="000080"/>
              <w:bottom w:val="single" w:sz="4" w:space="0" w:color="000080"/>
              <w:right w:val="single" w:sz="4" w:space="0" w:color="000080"/>
            </w:tcBorders>
            <w:shd w:val="clear" w:color="000000" w:fill="DCE6F1"/>
            <w:noWrap/>
            <w:vAlign w:val="center"/>
            <w:hideMark/>
          </w:tcPr>
          <w:p w:rsidR="00E64F4D" w:rsidRPr="00DE18F6" w:rsidRDefault="00E64F4D" w:rsidP="00DE18F6">
            <w:pPr>
              <w:spacing w:after="0" w:line="240" w:lineRule="auto"/>
              <w:ind w:firstLineChars="200" w:firstLine="320"/>
              <w:rPr>
                <w:rFonts w:ascii="Arial" w:eastAsia="Times New Roman" w:hAnsi="Arial" w:cs="Arial"/>
                <w:sz w:val="16"/>
                <w:szCs w:val="16"/>
                <w:lang w:eastAsia="hr-HR"/>
              </w:rPr>
            </w:pPr>
            <w:r w:rsidRPr="00DE18F6">
              <w:rPr>
                <w:rFonts w:ascii="Arial" w:eastAsia="Times New Roman" w:hAnsi="Arial" w:cs="Arial"/>
                <w:sz w:val="16"/>
                <w:szCs w:val="16"/>
                <w:lang w:eastAsia="hr-HR"/>
              </w:rPr>
              <w:t>- Ukupno</w:t>
            </w:r>
          </w:p>
        </w:tc>
        <w:tc>
          <w:tcPr>
            <w:tcW w:w="1349" w:type="dxa"/>
            <w:tcBorders>
              <w:top w:val="nil"/>
              <w:left w:val="nil"/>
              <w:bottom w:val="single" w:sz="4" w:space="0" w:color="000080"/>
              <w:right w:val="single" w:sz="4" w:space="0" w:color="000080"/>
            </w:tcBorders>
            <w:shd w:val="clear" w:color="000000" w:fill="DCE6F1"/>
            <w:noWrap/>
            <w:vAlign w:val="center"/>
            <w:hideMark/>
          </w:tcPr>
          <w:p w:rsidR="00E64F4D" w:rsidRPr="00DE18F6" w:rsidRDefault="00E64F4D" w:rsidP="00E64F4D">
            <w:pPr>
              <w:spacing w:after="0" w:line="240" w:lineRule="auto"/>
              <w:jc w:val="right"/>
              <w:rPr>
                <w:rFonts w:ascii="Arial" w:eastAsia="Times New Roman" w:hAnsi="Arial" w:cs="Arial"/>
                <w:b/>
                <w:bCs/>
                <w:color w:val="000000"/>
                <w:sz w:val="16"/>
                <w:szCs w:val="16"/>
                <w:lang w:eastAsia="hr-HR"/>
              </w:rPr>
            </w:pPr>
            <w:r w:rsidRPr="00DE18F6">
              <w:rPr>
                <w:rFonts w:ascii="Arial" w:eastAsia="Times New Roman" w:hAnsi="Arial" w:cs="Arial"/>
                <w:b/>
                <w:bCs/>
                <w:color w:val="000000"/>
                <w:sz w:val="16"/>
                <w:szCs w:val="16"/>
                <w:lang w:eastAsia="hr-HR"/>
              </w:rPr>
              <w:t>26,256</w:t>
            </w:r>
          </w:p>
        </w:tc>
        <w:tc>
          <w:tcPr>
            <w:tcW w:w="1275" w:type="dxa"/>
            <w:tcBorders>
              <w:top w:val="nil"/>
              <w:left w:val="nil"/>
              <w:bottom w:val="single" w:sz="4" w:space="0" w:color="000080"/>
              <w:right w:val="single" w:sz="4" w:space="0" w:color="000080"/>
            </w:tcBorders>
            <w:shd w:val="clear" w:color="000000" w:fill="DCE6F1"/>
            <w:noWrap/>
            <w:vAlign w:val="center"/>
            <w:hideMark/>
          </w:tcPr>
          <w:p w:rsidR="00E64F4D" w:rsidRPr="00DE18F6" w:rsidRDefault="00E64F4D" w:rsidP="00E64F4D">
            <w:pPr>
              <w:spacing w:after="0" w:line="240" w:lineRule="auto"/>
              <w:jc w:val="right"/>
              <w:rPr>
                <w:rFonts w:ascii="Arial" w:eastAsia="Times New Roman" w:hAnsi="Arial" w:cs="Arial"/>
                <w:b/>
                <w:bCs/>
                <w:color w:val="000000"/>
                <w:sz w:val="16"/>
                <w:szCs w:val="16"/>
                <w:lang w:eastAsia="hr-HR"/>
              </w:rPr>
            </w:pPr>
            <w:r w:rsidRPr="00DE18F6">
              <w:rPr>
                <w:rFonts w:ascii="Arial" w:eastAsia="Times New Roman" w:hAnsi="Arial" w:cs="Arial"/>
                <w:b/>
                <w:bCs/>
                <w:color w:val="000000"/>
                <w:sz w:val="16"/>
                <w:szCs w:val="16"/>
                <w:lang w:eastAsia="hr-HR"/>
              </w:rPr>
              <w:t>12,695</w:t>
            </w:r>
          </w:p>
        </w:tc>
        <w:tc>
          <w:tcPr>
            <w:tcW w:w="1134" w:type="dxa"/>
            <w:tcBorders>
              <w:top w:val="nil"/>
              <w:left w:val="nil"/>
              <w:bottom w:val="single" w:sz="4" w:space="0" w:color="000080"/>
              <w:right w:val="single" w:sz="4" w:space="0" w:color="000080"/>
            </w:tcBorders>
            <w:shd w:val="clear" w:color="000000" w:fill="DCE6F1"/>
            <w:noWrap/>
            <w:vAlign w:val="center"/>
            <w:hideMark/>
          </w:tcPr>
          <w:p w:rsidR="00E64F4D" w:rsidRPr="00DE18F6" w:rsidRDefault="00E64F4D" w:rsidP="00E64F4D">
            <w:pPr>
              <w:spacing w:after="0" w:line="240" w:lineRule="auto"/>
              <w:jc w:val="right"/>
              <w:rPr>
                <w:rFonts w:ascii="Arial" w:eastAsia="Times New Roman" w:hAnsi="Arial" w:cs="Arial"/>
                <w:b/>
                <w:bCs/>
                <w:color w:val="000000"/>
                <w:sz w:val="16"/>
                <w:szCs w:val="16"/>
                <w:lang w:eastAsia="hr-HR"/>
              </w:rPr>
            </w:pPr>
            <w:r w:rsidRPr="00DE18F6">
              <w:rPr>
                <w:rFonts w:ascii="Arial" w:eastAsia="Times New Roman" w:hAnsi="Arial" w:cs="Arial"/>
                <w:b/>
                <w:bCs/>
                <w:color w:val="000000"/>
                <w:sz w:val="16"/>
                <w:szCs w:val="16"/>
                <w:lang w:eastAsia="hr-HR"/>
              </w:rPr>
              <w:t>13,56</w:t>
            </w:r>
            <w:r w:rsidR="00203EC1">
              <w:rPr>
                <w:rFonts w:ascii="Arial" w:eastAsia="Times New Roman" w:hAnsi="Arial" w:cs="Arial"/>
                <w:b/>
                <w:bCs/>
                <w:color w:val="000000"/>
                <w:sz w:val="16"/>
                <w:szCs w:val="16"/>
                <w:lang w:eastAsia="hr-HR"/>
              </w:rPr>
              <w:t>0</w:t>
            </w:r>
          </w:p>
        </w:tc>
      </w:tr>
      <w:tr w:rsidR="00E64F4D" w:rsidRPr="00DE18F6" w:rsidTr="00A408A8">
        <w:trPr>
          <w:trHeight w:val="300"/>
          <w:jc w:val="center"/>
        </w:trPr>
        <w:tc>
          <w:tcPr>
            <w:tcW w:w="1360" w:type="dxa"/>
            <w:tcBorders>
              <w:top w:val="nil"/>
              <w:left w:val="single" w:sz="4" w:space="0" w:color="000080"/>
              <w:bottom w:val="single" w:sz="4" w:space="0" w:color="000080"/>
              <w:right w:val="single" w:sz="4" w:space="0" w:color="000080"/>
            </w:tcBorders>
            <w:shd w:val="clear" w:color="auto" w:fill="auto"/>
            <w:noWrap/>
            <w:vAlign w:val="center"/>
            <w:hideMark/>
          </w:tcPr>
          <w:p w:rsidR="00E64F4D" w:rsidRPr="00DE18F6" w:rsidRDefault="00E64F4D" w:rsidP="00DE18F6">
            <w:pPr>
              <w:spacing w:after="0" w:line="240" w:lineRule="auto"/>
              <w:ind w:firstLineChars="200" w:firstLine="320"/>
              <w:rPr>
                <w:rFonts w:ascii="Arial" w:eastAsia="Times New Roman" w:hAnsi="Arial" w:cs="Arial"/>
                <w:sz w:val="16"/>
                <w:szCs w:val="16"/>
                <w:lang w:eastAsia="hr-HR"/>
              </w:rPr>
            </w:pPr>
            <w:r w:rsidRPr="00DE18F6">
              <w:rPr>
                <w:rFonts w:ascii="Arial" w:eastAsia="Times New Roman" w:hAnsi="Arial" w:cs="Arial"/>
                <w:sz w:val="16"/>
                <w:szCs w:val="16"/>
                <w:lang w:eastAsia="hr-HR"/>
              </w:rPr>
              <w:t>- 1+2+8</w:t>
            </w:r>
          </w:p>
        </w:tc>
        <w:tc>
          <w:tcPr>
            <w:tcW w:w="1349" w:type="dxa"/>
            <w:tcBorders>
              <w:top w:val="nil"/>
              <w:left w:val="nil"/>
              <w:bottom w:val="single" w:sz="4" w:space="0" w:color="000080"/>
              <w:right w:val="single" w:sz="4" w:space="0" w:color="000080"/>
            </w:tcBorders>
            <w:shd w:val="clear" w:color="auto" w:fill="auto"/>
            <w:noWrap/>
            <w:vAlign w:val="center"/>
            <w:hideMark/>
          </w:tcPr>
          <w:p w:rsidR="00E64F4D" w:rsidRPr="00DE18F6" w:rsidRDefault="00E64F4D" w:rsidP="00E64F4D">
            <w:pPr>
              <w:spacing w:after="0" w:line="240" w:lineRule="auto"/>
              <w:jc w:val="right"/>
              <w:rPr>
                <w:rFonts w:ascii="Arial" w:eastAsia="Times New Roman" w:hAnsi="Arial" w:cs="Arial"/>
                <w:b/>
                <w:bCs/>
                <w:color w:val="000000"/>
                <w:sz w:val="16"/>
                <w:szCs w:val="16"/>
                <w:lang w:eastAsia="hr-HR"/>
              </w:rPr>
            </w:pPr>
            <w:r w:rsidRPr="00DE18F6">
              <w:rPr>
                <w:rFonts w:ascii="Arial" w:eastAsia="Times New Roman" w:hAnsi="Arial" w:cs="Arial"/>
                <w:b/>
                <w:bCs/>
                <w:color w:val="000000"/>
                <w:sz w:val="16"/>
                <w:szCs w:val="16"/>
                <w:lang w:eastAsia="hr-HR"/>
              </w:rPr>
              <w:t>12,881</w:t>
            </w:r>
          </w:p>
        </w:tc>
        <w:tc>
          <w:tcPr>
            <w:tcW w:w="1275" w:type="dxa"/>
            <w:tcBorders>
              <w:top w:val="nil"/>
              <w:left w:val="nil"/>
              <w:bottom w:val="single" w:sz="4" w:space="0" w:color="000080"/>
              <w:right w:val="single" w:sz="4" w:space="0" w:color="000080"/>
            </w:tcBorders>
            <w:shd w:val="clear" w:color="auto" w:fill="auto"/>
            <w:noWrap/>
            <w:vAlign w:val="center"/>
            <w:hideMark/>
          </w:tcPr>
          <w:p w:rsidR="00E64F4D" w:rsidRPr="00DE18F6" w:rsidRDefault="00E64F4D" w:rsidP="00E64F4D">
            <w:pPr>
              <w:spacing w:after="0" w:line="240" w:lineRule="auto"/>
              <w:jc w:val="right"/>
              <w:rPr>
                <w:rFonts w:ascii="Arial" w:eastAsia="Times New Roman" w:hAnsi="Arial" w:cs="Arial"/>
                <w:b/>
                <w:bCs/>
                <w:color w:val="000000"/>
                <w:sz w:val="16"/>
                <w:szCs w:val="16"/>
                <w:lang w:eastAsia="hr-HR"/>
              </w:rPr>
            </w:pPr>
            <w:r w:rsidRPr="00DE18F6">
              <w:rPr>
                <w:rFonts w:ascii="Arial" w:eastAsia="Times New Roman" w:hAnsi="Arial" w:cs="Arial"/>
                <w:b/>
                <w:bCs/>
                <w:color w:val="000000"/>
                <w:sz w:val="16"/>
                <w:szCs w:val="16"/>
                <w:lang w:eastAsia="hr-HR"/>
              </w:rPr>
              <w:t>10,344</w:t>
            </w:r>
          </w:p>
        </w:tc>
        <w:tc>
          <w:tcPr>
            <w:tcW w:w="1134" w:type="dxa"/>
            <w:tcBorders>
              <w:top w:val="nil"/>
              <w:left w:val="nil"/>
              <w:bottom w:val="single" w:sz="4" w:space="0" w:color="000080"/>
              <w:right w:val="single" w:sz="4" w:space="0" w:color="000080"/>
            </w:tcBorders>
            <w:shd w:val="clear" w:color="auto" w:fill="auto"/>
            <w:noWrap/>
            <w:vAlign w:val="center"/>
            <w:hideMark/>
          </w:tcPr>
          <w:p w:rsidR="00E64F4D" w:rsidRPr="00DE18F6" w:rsidRDefault="00E64F4D" w:rsidP="00E64F4D">
            <w:pPr>
              <w:spacing w:after="0" w:line="240" w:lineRule="auto"/>
              <w:jc w:val="right"/>
              <w:rPr>
                <w:rFonts w:ascii="Arial" w:eastAsia="Times New Roman" w:hAnsi="Arial" w:cs="Arial"/>
                <w:b/>
                <w:bCs/>
                <w:color w:val="000000"/>
                <w:sz w:val="16"/>
                <w:szCs w:val="16"/>
                <w:lang w:eastAsia="hr-HR"/>
              </w:rPr>
            </w:pPr>
            <w:r w:rsidRPr="00DE18F6">
              <w:rPr>
                <w:rFonts w:ascii="Arial" w:eastAsia="Times New Roman" w:hAnsi="Arial" w:cs="Arial"/>
                <w:b/>
                <w:bCs/>
                <w:color w:val="000000"/>
                <w:sz w:val="16"/>
                <w:szCs w:val="16"/>
                <w:lang w:eastAsia="hr-HR"/>
              </w:rPr>
              <w:t>2,537</w:t>
            </w:r>
          </w:p>
        </w:tc>
      </w:tr>
      <w:tr w:rsidR="00E64F4D" w:rsidRPr="00DE18F6" w:rsidTr="00A408A8">
        <w:trPr>
          <w:trHeight w:val="300"/>
          <w:jc w:val="center"/>
        </w:trPr>
        <w:tc>
          <w:tcPr>
            <w:tcW w:w="1360" w:type="dxa"/>
            <w:tcBorders>
              <w:top w:val="nil"/>
              <w:left w:val="single" w:sz="4" w:space="0" w:color="000080"/>
              <w:bottom w:val="single" w:sz="4" w:space="0" w:color="000080"/>
              <w:right w:val="single" w:sz="4" w:space="0" w:color="000080"/>
            </w:tcBorders>
            <w:shd w:val="clear" w:color="auto" w:fill="auto"/>
            <w:noWrap/>
            <w:vAlign w:val="center"/>
            <w:hideMark/>
          </w:tcPr>
          <w:p w:rsidR="00E64F4D" w:rsidRPr="00DE18F6" w:rsidRDefault="00E64F4D" w:rsidP="00DE18F6">
            <w:pPr>
              <w:spacing w:after="0" w:line="240" w:lineRule="auto"/>
              <w:ind w:firstLineChars="200" w:firstLine="320"/>
              <w:rPr>
                <w:rFonts w:ascii="Arial" w:eastAsia="Times New Roman" w:hAnsi="Arial" w:cs="Arial"/>
                <w:sz w:val="16"/>
                <w:szCs w:val="16"/>
                <w:lang w:eastAsia="hr-HR"/>
              </w:rPr>
            </w:pPr>
            <w:r w:rsidRPr="00DE18F6">
              <w:rPr>
                <w:rFonts w:ascii="Arial" w:eastAsia="Times New Roman" w:hAnsi="Arial" w:cs="Arial"/>
                <w:sz w:val="16"/>
                <w:szCs w:val="16"/>
                <w:lang w:eastAsia="hr-HR"/>
              </w:rPr>
              <w:t>- ostali izvori</w:t>
            </w:r>
          </w:p>
        </w:tc>
        <w:tc>
          <w:tcPr>
            <w:tcW w:w="1349" w:type="dxa"/>
            <w:tcBorders>
              <w:top w:val="nil"/>
              <w:left w:val="nil"/>
              <w:bottom w:val="single" w:sz="4" w:space="0" w:color="000080"/>
              <w:right w:val="single" w:sz="4" w:space="0" w:color="000080"/>
            </w:tcBorders>
            <w:shd w:val="clear" w:color="auto" w:fill="auto"/>
            <w:noWrap/>
            <w:vAlign w:val="center"/>
            <w:hideMark/>
          </w:tcPr>
          <w:p w:rsidR="00E64F4D" w:rsidRPr="00DE18F6" w:rsidRDefault="00E64F4D" w:rsidP="00E64F4D">
            <w:pPr>
              <w:spacing w:after="0" w:line="240" w:lineRule="auto"/>
              <w:jc w:val="right"/>
              <w:rPr>
                <w:rFonts w:ascii="Arial" w:eastAsia="Times New Roman" w:hAnsi="Arial" w:cs="Arial"/>
                <w:b/>
                <w:bCs/>
                <w:color w:val="000000"/>
                <w:sz w:val="16"/>
                <w:szCs w:val="16"/>
                <w:lang w:eastAsia="hr-HR"/>
              </w:rPr>
            </w:pPr>
            <w:r w:rsidRPr="00DE18F6">
              <w:rPr>
                <w:rFonts w:ascii="Arial" w:eastAsia="Times New Roman" w:hAnsi="Arial" w:cs="Arial"/>
                <w:b/>
                <w:bCs/>
                <w:color w:val="000000"/>
                <w:sz w:val="16"/>
                <w:szCs w:val="16"/>
                <w:lang w:eastAsia="hr-HR"/>
              </w:rPr>
              <w:t>13,375</w:t>
            </w:r>
          </w:p>
        </w:tc>
        <w:tc>
          <w:tcPr>
            <w:tcW w:w="1275" w:type="dxa"/>
            <w:tcBorders>
              <w:top w:val="nil"/>
              <w:left w:val="nil"/>
              <w:bottom w:val="single" w:sz="4" w:space="0" w:color="000080"/>
              <w:right w:val="single" w:sz="4" w:space="0" w:color="000080"/>
            </w:tcBorders>
            <w:shd w:val="clear" w:color="auto" w:fill="auto"/>
            <w:noWrap/>
            <w:vAlign w:val="center"/>
            <w:hideMark/>
          </w:tcPr>
          <w:p w:rsidR="00E64F4D" w:rsidRPr="00DE18F6" w:rsidRDefault="00E64F4D" w:rsidP="00E64F4D">
            <w:pPr>
              <w:spacing w:after="0" w:line="240" w:lineRule="auto"/>
              <w:jc w:val="right"/>
              <w:rPr>
                <w:rFonts w:ascii="Arial" w:eastAsia="Times New Roman" w:hAnsi="Arial" w:cs="Arial"/>
                <w:b/>
                <w:bCs/>
                <w:color w:val="000000"/>
                <w:sz w:val="16"/>
                <w:szCs w:val="16"/>
                <w:lang w:eastAsia="hr-HR"/>
              </w:rPr>
            </w:pPr>
            <w:r w:rsidRPr="00DE18F6">
              <w:rPr>
                <w:rFonts w:ascii="Arial" w:eastAsia="Times New Roman" w:hAnsi="Arial" w:cs="Arial"/>
                <w:b/>
                <w:bCs/>
                <w:color w:val="000000"/>
                <w:sz w:val="16"/>
                <w:szCs w:val="16"/>
                <w:lang w:eastAsia="hr-HR"/>
              </w:rPr>
              <w:t>2,352</w:t>
            </w:r>
          </w:p>
        </w:tc>
        <w:tc>
          <w:tcPr>
            <w:tcW w:w="1134" w:type="dxa"/>
            <w:tcBorders>
              <w:top w:val="nil"/>
              <w:left w:val="nil"/>
              <w:bottom w:val="single" w:sz="4" w:space="0" w:color="000080"/>
              <w:right w:val="single" w:sz="4" w:space="0" w:color="000080"/>
            </w:tcBorders>
            <w:shd w:val="clear" w:color="auto" w:fill="auto"/>
            <w:noWrap/>
            <w:vAlign w:val="center"/>
            <w:hideMark/>
          </w:tcPr>
          <w:p w:rsidR="00E64F4D" w:rsidRPr="00DE18F6" w:rsidRDefault="00E64F4D" w:rsidP="00E64F4D">
            <w:pPr>
              <w:spacing w:after="0" w:line="240" w:lineRule="auto"/>
              <w:jc w:val="right"/>
              <w:rPr>
                <w:rFonts w:ascii="Arial" w:eastAsia="Times New Roman" w:hAnsi="Arial" w:cs="Arial"/>
                <w:b/>
                <w:bCs/>
                <w:color w:val="000000"/>
                <w:sz w:val="16"/>
                <w:szCs w:val="16"/>
                <w:lang w:eastAsia="hr-HR"/>
              </w:rPr>
            </w:pPr>
            <w:r w:rsidRPr="00DE18F6">
              <w:rPr>
                <w:rFonts w:ascii="Arial" w:eastAsia="Times New Roman" w:hAnsi="Arial" w:cs="Arial"/>
                <w:b/>
                <w:bCs/>
                <w:color w:val="000000"/>
                <w:sz w:val="16"/>
                <w:szCs w:val="16"/>
                <w:lang w:eastAsia="hr-HR"/>
              </w:rPr>
              <w:t>11,023</w:t>
            </w:r>
          </w:p>
        </w:tc>
      </w:tr>
    </w:tbl>
    <w:p w:rsidR="00342FF9" w:rsidRPr="00FA7F54" w:rsidRDefault="00342FF9" w:rsidP="00922D60">
      <w:pPr>
        <w:pStyle w:val="Naslov1"/>
        <w:numPr>
          <w:ilvl w:val="0"/>
          <w:numId w:val="4"/>
        </w:numPr>
        <w:ind w:left="567" w:hanging="567"/>
        <w:rPr>
          <w:rFonts w:ascii="Times New Roman" w:hAnsi="Times New Roman" w:cs="Times New Roman"/>
          <w:color w:val="auto"/>
          <w:sz w:val="22"/>
          <w:szCs w:val="22"/>
        </w:rPr>
      </w:pPr>
      <w:bookmarkStart w:id="110" w:name="_Toc434411198"/>
      <w:bookmarkStart w:id="111" w:name="_Toc436402341"/>
      <w:r w:rsidRPr="00FA7F54">
        <w:rPr>
          <w:rFonts w:ascii="Times New Roman" w:hAnsi="Times New Roman" w:cs="Times New Roman"/>
          <w:color w:val="auto"/>
          <w:sz w:val="22"/>
          <w:szCs w:val="22"/>
        </w:rPr>
        <w:t>OSTALI NESPOMENUTI RASHODI POSLOVANJA (329)</w:t>
      </w:r>
      <w:bookmarkEnd w:id="110"/>
      <w:bookmarkEnd w:id="111"/>
    </w:p>
    <w:p w:rsidR="00342FF9" w:rsidRPr="00FA7F54" w:rsidRDefault="00DD2B33" w:rsidP="00342FF9">
      <w:pPr>
        <w:spacing w:line="240" w:lineRule="auto"/>
        <w:jc w:val="both"/>
        <w:rPr>
          <w:rFonts w:ascii="Times New Roman" w:hAnsi="Times New Roman" w:cs="Times New Roman"/>
        </w:rPr>
      </w:pPr>
      <w:r w:rsidRPr="00FA7F54">
        <w:rPr>
          <w:rFonts w:ascii="Times New Roman" w:hAnsi="Times New Roman" w:cs="Times New Roman"/>
        </w:rPr>
        <w:t>Ostali nespo</w:t>
      </w:r>
      <w:r w:rsidR="00342FF9" w:rsidRPr="00FA7F54">
        <w:rPr>
          <w:rFonts w:ascii="Times New Roman" w:hAnsi="Times New Roman" w:cs="Times New Roman"/>
        </w:rPr>
        <w:t>m</w:t>
      </w:r>
      <w:r w:rsidRPr="00FA7F54">
        <w:rPr>
          <w:rFonts w:ascii="Times New Roman" w:hAnsi="Times New Roman" w:cs="Times New Roman"/>
        </w:rPr>
        <w:t>e</w:t>
      </w:r>
      <w:r w:rsidR="00342FF9" w:rsidRPr="00FA7F54">
        <w:rPr>
          <w:rFonts w:ascii="Times New Roman" w:hAnsi="Times New Roman" w:cs="Times New Roman"/>
        </w:rPr>
        <w:t>n</w:t>
      </w:r>
      <w:r w:rsidR="00B152F7" w:rsidRPr="00FA7F54">
        <w:rPr>
          <w:rFonts w:ascii="Times New Roman" w:hAnsi="Times New Roman" w:cs="Times New Roman"/>
        </w:rPr>
        <w:t>uti rashodi poslovanja iznose 1,</w:t>
      </w:r>
      <w:r w:rsidR="00342FF9" w:rsidRPr="00FA7F54">
        <w:rPr>
          <w:rFonts w:ascii="Times New Roman" w:hAnsi="Times New Roman" w:cs="Times New Roman"/>
        </w:rPr>
        <w:t xml:space="preserve">8 </w:t>
      </w:r>
      <w:r w:rsidR="009101E3" w:rsidRPr="00FA7F54">
        <w:rPr>
          <w:rFonts w:ascii="Times New Roman" w:hAnsi="Times New Roman" w:cs="Times New Roman"/>
        </w:rPr>
        <w:t>mlrd</w:t>
      </w:r>
      <w:r w:rsidR="00342FF9" w:rsidRPr="00FA7F54">
        <w:rPr>
          <w:rFonts w:ascii="Times New Roman" w:hAnsi="Times New Roman" w:cs="Times New Roman"/>
        </w:rPr>
        <w:t>.</w:t>
      </w:r>
      <w:r w:rsidR="002C28ED">
        <w:rPr>
          <w:rFonts w:ascii="Times New Roman" w:hAnsi="Times New Roman" w:cs="Times New Roman"/>
        </w:rPr>
        <w:t xml:space="preserve"> kuna</w:t>
      </w:r>
      <w:r w:rsidR="00342FF9" w:rsidRPr="00FA7F54">
        <w:rPr>
          <w:rFonts w:ascii="Times New Roman" w:hAnsi="Times New Roman" w:cs="Times New Roman"/>
        </w:rPr>
        <w:t xml:space="preserve"> u 2013. </w:t>
      </w:r>
      <w:r w:rsidR="00B152F7" w:rsidRPr="00FA7F54">
        <w:rPr>
          <w:rFonts w:ascii="Times New Roman" w:hAnsi="Times New Roman" w:cs="Times New Roman"/>
        </w:rPr>
        <w:t>godini odnosno 1,</w:t>
      </w:r>
      <w:r w:rsidR="00342FF9" w:rsidRPr="00FA7F54">
        <w:rPr>
          <w:rFonts w:ascii="Times New Roman" w:hAnsi="Times New Roman" w:cs="Times New Roman"/>
        </w:rPr>
        <w:t xml:space="preserve">6 </w:t>
      </w:r>
      <w:r w:rsidR="009101E3" w:rsidRPr="00FA7F54">
        <w:rPr>
          <w:rFonts w:ascii="Times New Roman" w:hAnsi="Times New Roman" w:cs="Times New Roman"/>
        </w:rPr>
        <w:t>mlrd</w:t>
      </w:r>
      <w:r w:rsidR="00342FF9" w:rsidRPr="00FA7F54">
        <w:rPr>
          <w:rFonts w:ascii="Times New Roman" w:hAnsi="Times New Roman" w:cs="Times New Roman"/>
        </w:rPr>
        <w:t xml:space="preserve">. </w:t>
      </w:r>
      <w:r w:rsidR="002C28ED">
        <w:rPr>
          <w:rFonts w:ascii="Times New Roman" w:hAnsi="Times New Roman" w:cs="Times New Roman"/>
        </w:rPr>
        <w:t xml:space="preserve">kuna </w:t>
      </w:r>
      <w:r w:rsidR="00342FF9" w:rsidRPr="00FA7F54">
        <w:rPr>
          <w:rFonts w:ascii="Times New Roman" w:hAnsi="Times New Roman" w:cs="Times New Roman"/>
        </w:rPr>
        <w:t xml:space="preserve">u 2014. godini. </w:t>
      </w:r>
    </w:p>
    <w:p w:rsidR="009835A2" w:rsidRPr="002C28ED" w:rsidRDefault="009835A2" w:rsidP="006B7B79">
      <w:pPr>
        <w:pStyle w:val="Opisslike"/>
        <w:spacing w:after="0"/>
        <w:jc w:val="both"/>
        <w:rPr>
          <w:rFonts w:ascii="Times New Roman" w:hAnsi="Times New Roman" w:cs="Times New Roman"/>
          <w:sz w:val="20"/>
          <w:szCs w:val="20"/>
        </w:rPr>
      </w:pPr>
      <w:bookmarkStart w:id="112" w:name="_Toc436402300"/>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53</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DE18F6" w:rsidRPr="006B7B79">
        <w:rPr>
          <w:rFonts w:ascii="Times New Roman" w:hAnsi="Times New Roman" w:cs="Times New Roman"/>
          <w:sz w:val="20"/>
          <w:szCs w:val="20"/>
        </w:rPr>
        <w:t xml:space="preserve"> Ostali</w:t>
      </w:r>
      <w:r w:rsidR="00C91053" w:rsidRPr="006B7B79">
        <w:rPr>
          <w:rFonts w:ascii="Times New Roman" w:hAnsi="Times New Roman" w:cs="Times New Roman"/>
          <w:sz w:val="20"/>
          <w:szCs w:val="20"/>
        </w:rPr>
        <w:t xml:space="preserve"> nespomenuti rashodi poslovanja</w:t>
      </w:r>
      <w:r w:rsidR="00DE18F6" w:rsidRPr="006B7B79">
        <w:rPr>
          <w:rFonts w:ascii="Times New Roman" w:hAnsi="Times New Roman" w:cs="Times New Roman"/>
          <w:sz w:val="20"/>
          <w:szCs w:val="20"/>
        </w:rPr>
        <w:t xml:space="preserve"> </w:t>
      </w:r>
      <w:r w:rsidR="00C91053" w:rsidRPr="006B7B79">
        <w:rPr>
          <w:rFonts w:ascii="Times New Roman" w:hAnsi="Times New Roman" w:cs="Times New Roman"/>
          <w:sz w:val="20"/>
          <w:szCs w:val="20"/>
        </w:rPr>
        <w:t>prema podacima iskazanim u financijskim izvještajima proračunskih i izvanproračunskih korisnika za 2013. i 2014. godinu</w:t>
      </w:r>
      <w:bookmarkEnd w:id="112"/>
    </w:p>
    <w:p w:rsidR="00342FF9" w:rsidRPr="00FA7F54" w:rsidRDefault="00342FF9" w:rsidP="00342FF9">
      <w:pPr>
        <w:spacing w:line="240" w:lineRule="auto"/>
        <w:jc w:val="both"/>
        <w:rPr>
          <w:rFonts w:ascii="Times New Roman" w:hAnsi="Times New Roman" w:cs="Times New Roman"/>
        </w:rPr>
      </w:pPr>
      <w:r w:rsidRPr="00FA7F54">
        <w:rPr>
          <w:noProof/>
          <w:lang w:eastAsia="hr-HR"/>
        </w:rPr>
        <w:drawing>
          <wp:inline distT="0" distB="0" distL="0" distR="0" wp14:anchorId="20C06263" wp14:editId="0F8B2FA8">
            <wp:extent cx="5760720" cy="1362456"/>
            <wp:effectExtent l="0" t="0" r="0" b="9525"/>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60720" cy="1362456"/>
                    </a:xfrm>
                    <a:prstGeom prst="rect">
                      <a:avLst/>
                    </a:prstGeom>
                    <a:noFill/>
                    <a:ln>
                      <a:noFill/>
                    </a:ln>
                  </pic:spPr>
                </pic:pic>
              </a:graphicData>
            </a:graphic>
          </wp:inline>
        </w:drawing>
      </w:r>
    </w:p>
    <w:p w:rsidR="00342FF9" w:rsidRPr="00FA7F54" w:rsidRDefault="00342FF9" w:rsidP="00342FF9">
      <w:pPr>
        <w:spacing w:line="240" w:lineRule="auto"/>
        <w:jc w:val="both"/>
        <w:rPr>
          <w:rFonts w:ascii="Times New Roman" w:hAnsi="Times New Roman" w:cs="Times New Roman"/>
        </w:rPr>
      </w:pPr>
      <w:r w:rsidRPr="00FA7F54">
        <w:rPr>
          <w:rFonts w:ascii="Times New Roman" w:hAnsi="Times New Roman" w:cs="Times New Roman"/>
        </w:rPr>
        <w:t xml:space="preserve">U državnom se proračunu rashodi </w:t>
      </w:r>
      <w:r w:rsidR="00B152F7" w:rsidRPr="00FA7F54">
        <w:rPr>
          <w:rFonts w:ascii="Times New Roman" w:hAnsi="Times New Roman" w:cs="Times New Roman"/>
        </w:rPr>
        <w:t xml:space="preserve">za </w:t>
      </w:r>
      <w:r w:rsidR="00B24374">
        <w:rPr>
          <w:rFonts w:ascii="Times New Roman" w:hAnsi="Times New Roman" w:cs="Times New Roman"/>
        </w:rPr>
        <w:t>ostale nespomenute rashode poslovanja</w:t>
      </w:r>
      <w:r w:rsidR="00B152F7" w:rsidRPr="00FA7F54">
        <w:rPr>
          <w:rFonts w:ascii="Times New Roman" w:hAnsi="Times New Roman" w:cs="Times New Roman"/>
        </w:rPr>
        <w:t xml:space="preserve"> kreću na razini 613</w:t>
      </w:r>
      <w:r w:rsidR="002C28ED">
        <w:rPr>
          <w:rFonts w:ascii="Times New Roman" w:hAnsi="Times New Roman" w:cs="Times New Roman"/>
        </w:rPr>
        <w:t>,5</w:t>
      </w:r>
      <w:r w:rsidRPr="00FA7F54">
        <w:rPr>
          <w:rFonts w:ascii="Times New Roman" w:hAnsi="Times New Roman" w:cs="Times New Roman"/>
        </w:rPr>
        <w:t xml:space="preserve"> </w:t>
      </w:r>
      <w:r w:rsidR="00B152F7" w:rsidRPr="00FA7F54">
        <w:rPr>
          <w:rFonts w:ascii="Times New Roman" w:hAnsi="Times New Roman" w:cs="Times New Roman"/>
        </w:rPr>
        <w:t xml:space="preserve">mil. </w:t>
      </w:r>
      <w:r w:rsidR="002C28ED">
        <w:rPr>
          <w:rFonts w:ascii="Times New Roman" w:hAnsi="Times New Roman" w:cs="Times New Roman"/>
        </w:rPr>
        <w:t xml:space="preserve">kuna </w:t>
      </w:r>
      <w:r w:rsidR="00B152F7" w:rsidRPr="00FA7F54">
        <w:rPr>
          <w:rFonts w:ascii="Times New Roman" w:hAnsi="Times New Roman" w:cs="Times New Roman"/>
        </w:rPr>
        <w:t>u 2013. odnosno 538</w:t>
      </w:r>
      <w:r w:rsidR="002C28ED">
        <w:rPr>
          <w:rFonts w:ascii="Times New Roman" w:hAnsi="Times New Roman" w:cs="Times New Roman"/>
        </w:rPr>
        <w:t>,8</w:t>
      </w:r>
      <w:r w:rsidRPr="00FA7F54">
        <w:rPr>
          <w:rFonts w:ascii="Times New Roman" w:hAnsi="Times New Roman" w:cs="Times New Roman"/>
        </w:rPr>
        <w:t xml:space="preserve"> </w:t>
      </w:r>
      <w:r w:rsidR="00B152F7" w:rsidRPr="00FA7F54">
        <w:rPr>
          <w:rFonts w:ascii="Times New Roman" w:hAnsi="Times New Roman" w:cs="Times New Roman"/>
        </w:rPr>
        <w:t>mil</w:t>
      </w:r>
      <w:r w:rsidRPr="00FA7F54">
        <w:rPr>
          <w:rFonts w:ascii="Times New Roman" w:hAnsi="Times New Roman" w:cs="Times New Roman"/>
        </w:rPr>
        <w:t xml:space="preserve">. </w:t>
      </w:r>
      <w:r w:rsidR="002C28ED">
        <w:rPr>
          <w:rFonts w:ascii="Times New Roman" w:hAnsi="Times New Roman" w:cs="Times New Roman"/>
        </w:rPr>
        <w:t xml:space="preserve">kuna </w:t>
      </w:r>
      <w:r w:rsidRPr="00FA7F54">
        <w:rPr>
          <w:rFonts w:ascii="Times New Roman" w:hAnsi="Times New Roman" w:cs="Times New Roman"/>
        </w:rPr>
        <w:t>u 2014. godini. U 2015. godini, s uključivanjem vlastitih i namjenskih prihoda u državni proračun, razvidno je povećanje</w:t>
      </w:r>
      <w:r w:rsidR="00B152F7" w:rsidRPr="00FA7F54">
        <w:rPr>
          <w:rFonts w:ascii="Times New Roman" w:hAnsi="Times New Roman" w:cs="Times New Roman"/>
        </w:rPr>
        <w:t xml:space="preserve"> ostalih nespomenutih</w:t>
      </w:r>
      <w:r w:rsidRPr="00FA7F54">
        <w:rPr>
          <w:rFonts w:ascii="Times New Roman" w:hAnsi="Times New Roman" w:cs="Times New Roman"/>
        </w:rPr>
        <w:t xml:space="preserve"> rashoda </w:t>
      </w:r>
      <w:r w:rsidR="00B152F7" w:rsidRPr="00FA7F54">
        <w:rPr>
          <w:rFonts w:ascii="Times New Roman" w:hAnsi="Times New Roman" w:cs="Times New Roman"/>
        </w:rPr>
        <w:lastRenderedPageBreak/>
        <w:t>poslovanja za 76</w:t>
      </w:r>
      <w:r w:rsidR="002C28ED">
        <w:rPr>
          <w:rFonts w:ascii="Times New Roman" w:hAnsi="Times New Roman" w:cs="Times New Roman"/>
        </w:rPr>
        <w:t>%</w:t>
      </w:r>
      <w:r w:rsidR="00B152F7" w:rsidRPr="00FA7F54">
        <w:rPr>
          <w:rFonts w:ascii="Times New Roman" w:hAnsi="Times New Roman" w:cs="Times New Roman"/>
        </w:rPr>
        <w:t xml:space="preserve"> ili 410</w:t>
      </w:r>
      <w:r w:rsidRPr="00FA7F54">
        <w:rPr>
          <w:rFonts w:ascii="Times New Roman" w:hAnsi="Times New Roman" w:cs="Times New Roman"/>
        </w:rPr>
        <w:t xml:space="preserve"> mil. kuna</w:t>
      </w:r>
      <w:r w:rsidR="00C72D2D" w:rsidRPr="00FA7F54">
        <w:rPr>
          <w:rFonts w:ascii="Times New Roman" w:hAnsi="Times New Roman" w:cs="Times New Roman"/>
        </w:rPr>
        <w:t xml:space="preserve"> od čega se 219 mil.</w:t>
      </w:r>
      <w:r w:rsidR="002C28ED">
        <w:rPr>
          <w:rFonts w:ascii="Times New Roman" w:hAnsi="Times New Roman" w:cs="Times New Roman"/>
        </w:rPr>
        <w:t xml:space="preserve"> kuna</w:t>
      </w:r>
      <w:r w:rsidR="00C72D2D" w:rsidRPr="00FA7F54">
        <w:rPr>
          <w:rFonts w:ascii="Times New Roman" w:hAnsi="Times New Roman" w:cs="Times New Roman"/>
        </w:rPr>
        <w:t xml:space="preserve"> odnosi na povećanje iz izvora u limitu, a 191 mil. </w:t>
      </w:r>
      <w:r w:rsidR="002C28ED">
        <w:rPr>
          <w:rFonts w:ascii="Times New Roman" w:hAnsi="Times New Roman" w:cs="Times New Roman"/>
        </w:rPr>
        <w:t xml:space="preserve">kuna </w:t>
      </w:r>
      <w:r w:rsidR="00C72D2D" w:rsidRPr="00FA7F54">
        <w:rPr>
          <w:rFonts w:ascii="Times New Roman" w:hAnsi="Times New Roman" w:cs="Times New Roman"/>
        </w:rPr>
        <w:t>na ostale izvore</w:t>
      </w:r>
      <w:r w:rsidRPr="00FA7F54">
        <w:rPr>
          <w:rFonts w:ascii="Times New Roman" w:hAnsi="Times New Roman" w:cs="Times New Roman"/>
        </w:rPr>
        <w:t xml:space="preserve">. </w:t>
      </w:r>
    </w:p>
    <w:p w:rsidR="009835A2" w:rsidRPr="002C28ED" w:rsidRDefault="009835A2" w:rsidP="006B7B79">
      <w:pPr>
        <w:pStyle w:val="Opisslike"/>
        <w:spacing w:after="0"/>
        <w:jc w:val="both"/>
        <w:rPr>
          <w:rFonts w:ascii="Times New Roman" w:hAnsi="Times New Roman" w:cs="Times New Roman"/>
          <w:sz w:val="20"/>
          <w:szCs w:val="20"/>
        </w:rPr>
      </w:pPr>
      <w:bookmarkStart w:id="113" w:name="_Toc436402301"/>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54</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 xml:space="preserve">: </w:t>
      </w:r>
      <w:r w:rsidR="00921660" w:rsidRPr="006B7B79">
        <w:rPr>
          <w:rFonts w:ascii="Times New Roman" w:hAnsi="Times New Roman" w:cs="Times New Roman"/>
          <w:sz w:val="20"/>
          <w:szCs w:val="20"/>
        </w:rPr>
        <w:t>Ostali nespomenuti rashodi poslovanja</w:t>
      </w:r>
      <w:r w:rsidR="00967596" w:rsidRPr="006B7B79">
        <w:rPr>
          <w:rFonts w:ascii="Times New Roman" w:hAnsi="Times New Roman" w:cs="Times New Roman"/>
          <w:sz w:val="20"/>
          <w:szCs w:val="20"/>
        </w:rPr>
        <w:t xml:space="preserve"> prema podacima iskazanim u državnom proračunu – izvršenje za 2013., 2014. i plan za 2015. (u mil.</w:t>
      </w:r>
      <w:r w:rsidR="002C28ED">
        <w:rPr>
          <w:rFonts w:ascii="Times New Roman" w:hAnsi="Times New Roman" w:cs="Times New Roman"/>
          <w:sz w:val="20"/>
          <w:szCs w:val="20"/>
        </w:rPr>
        <w:t xml:space="preserve"> kuna</w:t>
      </w:r>
      <w:r w:rsidR="00967596" w:rsidRPr="006B7B79">
        <w:rPr>
          <w:rFonts w:ascii="Times New Roman" w:hAnsi="Times New Roman" w:cs="Times New Roman"/>
          <w:sz w:val="20"/>
          <w:szCs w:val="20"/>
        </w:rPr>
        <w:t>)</w:t>
      </w:r>
      <w:bookmarkEnd w:id="113"/>
    </w:p>
    <w:tbl>
      <w:tblPr>
        <w:tblW w:w="9940" w:type="dxa"/>
        <w:tblInd w:w="-27" w:type="dxa"/>
        <w:tblLook w:val="04A0" w:firstRow="1" w:lastRow="0" w:firstColumn="1" w:lastColumn="0" w:noHBand="0" w:noVBand="1"/>
      </w:tblPr>
      <w:tblGrid>
        <w:gridCol w:w="1220"/>
        <w:gridCol w:w="3400"/>
        <w:gridCol w:w="1240"/>
        <w:gridCol w:w="1240"/>
        <w:gridCol w:w="820"/>
        <w:gridCol w:w="1240"/>
        <w:gridCol w:w="780"/>
      </w:tblGrid>
      <w:tr w:rsidR="00FA7769" w:rsidRPr="00921660" w:rsidTr="00FA7769">
        <w:trPr>
          <w:trHeight w:val="450"/>
        </w:trPr>
        <w:tc>
          <w:tcPr>
            <w:tcW w:w="1220" w:type="dxa"/>
            <w:tcBorders>
              <w:top w:val="single" w:sz="4" w:space="0" w:color="000080"/>
              <w:left w:val="single" w:sz="4" w:space="0" w:color="000080"/>
              <w:bottom w:val="single" w:sz="4" w:space="0" w:color="000080"/>
              <w:right w:val="single" w:sz="4" w:space="0" w:color="000080"/>
            </w:tcBorders>
            <w:shd w:val="clear" w:color="000000" w:fill="DCE6F1"/>
            <w:noWrap/>
            <w:vAlign w:val="center"/>
            <w:hideMark/>
          </w:tcPr>
          <w:p w:rsidR="00FA7769" w:rsidRPr="00921660" w:rsidRDefault="00FA7769" w:rsidP="00921660">
            <w:pPr>
              <w:spacing w:after="0" w:line="240" w:lineRule="auto"/>
              <w:ind w:firstLineChars="100" w:firstLine="160"/>
              <w:rPr>
                <w:rFonts w:ascii="Arial" w:eastAsia="Times New Roman" w:hAnsi="Arial" w:cs="Arial"/>
                <w:sz w:val="16"/>
                <w:szCs w:val="16"/>
                <w:lang w:eastAsia="hr-HR"/>
              </w:rPr>
            </w:pPr>
            <w:r w:rsidRPr="00921660">
              <w:rPr>
                <w:rFonts w:ascii="Arial" w:eastAsia="Times New Roman" w:hAnsi="Arial" w:cs="Arial"/>
                <w:sz w:val="16"/>
                <w:szCs w:val="16"/>
                <w:lang w:eastAsia="hr-HR"/>
              </w:rPr>
              <w:t> </w:t>
            </w:r>
          </w:p>
        </w:tc>
        <w:tc>
          <w:tcPr>
            <w:tcW w:w="3400" w:type="dxa"/>
            <w:tcBorders>
              <w:top w:val="single" w:sz="4" w:space="0" w:color="000080"/>
              <w:left w:val="nil"/>
              <w:bottom w:val="single" w:sz="4" w:space="0" w:color="000080"/>
              <w:right w:val="single" w:sz="4" w:space="0" w:color="000080"/>
            </w:tcBorders>
            <w:shd w:val="clear" w:color="000000" w:fill="DCE6F1"/>
            <w:noWrap/>
            <w:vAlign w:val="center"/>
            <w:hideMark/>
          </w:tcPr>
          <w:p w:rsidR="00FA7769" w:rsidRPr="00921660" w:rsidRDefault="00FA7769" w:rsidP="00921660">
            <w:pPr>
              <w:spacing w:after="0" w:line="240" w:lineRule="auto"/>
              <w:ind w:firstLineChars="100" w:firstLine="160"/>
              <w:rPr>
                <w:rFonts w:ascii="Arial" w:eastAsia="Times New Roman" w:hAnsi="Arial" w:cs="Arial"/>
                <w:sz w:val="16"/>
                <w:szCs w:val="16"/>
                <w:lang w:eastAsia="hr-HR"/>
              </w:rPr>
            </w:pPr>
            <w:r w:rsidRPr="00921660">
              <w:rPr>
                <w:rFonts w:ascii="Arial" w:eastAsia="Times New Roman" w:hAnsi="Arial" w:cs="Arial"/>
                <w:sz w:val="16"/>
                <w:szCs w:val="16"/>
                <w:lang w:eastAsia="hr-HR"/>
              </w:rPr>
              <w:t> </w:t>
            </w:r>
          </w:p>
        </w:tc>
        <w:tc>
          <w:tcPr>
            <w:tcW w:w="1240" w:type="dxa"/>
            <w:tcBorders>
              <w:top w:val="single" w:sz="4" w:space="0" w:color="000080"/>
              <w:left w:val="nil"/>
              <w:bottom w:val="single" w:sz="4" w:space="0" w:color="000080"/>
              <w:right w:val="single" w:sz="4" w:space="0" w:color="000080"/>
            </w:tcBorders>
            <w:shd w:val="clear" w:color="000000" w:fill="DCE6F1"/>
            <w:vAlign w:val="center"/>
            <w:hideMark/>
          </w:tcPr>
          <w:p w:rsidR="00FA7769" w:rsidRPr="00921660" w:rsidRDefault="00FA7769" w:rsidP="002C28ED">
            <w:pPr>
              <w:spacing w:after="0" w:line="240" w:lineRule="auto"/>
              <w:jc w:val="center"/>
              <w:rPr>
                <w:rFonts w:ascii="Arial" w:eastAsia="Times New Roman" w:hAnsi="Arial" w:cs="Arial"/>
                <w:b/>
                <w:bCs/>
                <w:sz w:val="16"/>
                <w:szCs w:val="16"/>
                <w:lang w:eastAsia="hr-HR"/>
              </w:rPr>
            </w:pPr>
            <w:r w:rsidRPr="00921660">
              <w:rPr>
                <w:rFonts w:ascii="Arial" w:eastAsia="Times New Roman" w:hAnsi="Arial" w:cs="Arial"/>
                <w:b/>
                <w:bCs/>
                <w:sz w:val="16"/>
                <w:szCs w:val="16"/>
                <w:lang w:eastAsia="hr-HR"/>
              </w:rPr>
              <w:t>Izvršenje 2013.</w:t>
            </w:r>
          </w:p>
        </w:tc>
        <w:tc>
          <w:tcPr>
            <w:tcW w:w="1240" w:type="dxa"/>
            <w:tcBorders>
              <w:top w:val="single" w:sz="4" w:space="0" w:color="000080"/>
              <w:left w:val="nil"/>
              <w:bottom w:val="single" w:sz="4" w:space="0" w:color="000080"/>
              <w:right w:val="single" w:sz="4" w:space="0" w:color="000080"/>
            </w:tcBorders>
            <w:shd w:val="clear" w:color="000000" w:fill="DCE6F1"/>
            <w:vAlign w:val="center"/>
            <w:hideMark/>
          </w:tcPr>
          <w:p w:rsidR="00FA7769" w:rsidRPr="00921660" w:rsidRDefault="00FA7769" w:rsidP="002C28ED">
            <w:pPr>
              <w:spacing w:after="0" w:line="240" w:lineRule="auto"/>
              <w:jc w:val="center"/>
              <w:rPr>
                <w:rFonts w:ascii="Arial" w:eastAsia="Times New Roman" w:hAnsi="Arial" w:cs="Arial"/>
                <w:b/>
                <w:bCs/>
                <w:sz w:val="16"/>
                <w:szCs w:val="16"/>
                <w:lang w:eastAsia="hr-HR"/>
              </w:rPr>
            </w:pPr>
            <w:r w:rsidRPr="00921660">
              <w:rPr>
                <w:rFonts w:ascii="Arial" w:eastAsia="Times New Roman" w:hAnsi="Arial" w:cs="Arial"/>
                <w:b/>
                <w:bCs/>
                <w:sz w:val="16"/>
                <w:szCs w:val="16"/>
                <w:lang w:eastAsia="hr-HR"/>
              </w:rPr>
              <w:t>Izvršenje 2014.</w:t>
            </w:r>
          </w:p>
        </w:tc>
        <w:tc>
          <w:tcPr>
            <w:tcW w:w="820" w:type="dxa"/>
            <w:tcBorders>
              <w:top w:val="single" w:sz="4" w:space="0" w:color="000080"/>
              <w:left w:val="nil"/>
              <w:bottom w:val="single" w:sz="4" w:space="0" w:color="000080"/>
              <w:right w:val="single" w:sz="4" w:space="0" w:color="000080"/>
            </w:tcBorders>
            <w:shd w:val="clear" w:color="000000" w:fill="DCE6F1"/>
            <w:vAlign w:val="center"/>
            <w:hideMark/>
          </w:tcPr>
          <w:p w:rsidR="00FA7769" w:rsidRPr="00921660" w:rsidRDefault="00FA7769" w:rsidP="002C28ED">
            <w:pPr>
              <w:spacing w:after="0" w:line="240" w:lineRule="auto"/>
              <w:jc w:val="center"/>
              <w:rPr>
                <w:rFonts w:ascii="Arial" w:eastAsia="Times New Roman" w:hAnsi="Arial" w:cs="Arial"/>
                <w:b/>
                <w:bCs/>
                <w:sz w:val="16"/>
                <w:szCs w:val="16"/>
                <w:lang w:eastAsia="hr-HR"/>
              </w:rPr>
            </w:pPr>
            <w:r w:rsidRPr="00921660">
              <w:rPr>
                <w:rFonts w:ascii="Arial" w:eastAsia="Times New Roman" w:hAnsi="Arial" w:cs="Arial"/>
                <w:b/>
                <w:bCs/>
                <w:sz w:val="16"/>
                <w:szCs w:val="16"/>
                <w:lang w:eastAsia="hr-HR"/>
              </w:rPr>
              <w:t>Indeks</w:t>
            </w:r>
          </w:p>
        </w:tc>
        <w:tc>
          <w:tcPr>
            <w:tcW w:w="1240" w:type="dxa"/>
            <w:tcBorders>
              <w:top w:val="single" w:sz="4" w:space="0" w:color="000080"/>
              <w:left w:val="nil"/>
              <w:bottom w:val="single" w:sz="4" w:space="0" w:color="000080"/>
              <w:right w:val="single" w:sz="4" w:space="0" w:color="000080"/>
            </w:tcBorders>
            <w:shd w:val="clear" w:color="000000" w:fill="DCE6F1"/>
            <w:vAlign w:val="center"/>
            <w:hideMark/>
          </w:tcPr>
          <w:p w:rsidR="00FA7769" w:rsidRPr="00921660" w:rsidRDefault="00FA7769" w:rsidP="002C28ED">
            <w:pPr>
              <w:spacing w:after="0" w:line="240" w:lineRule="auto"/>
              <w:jc w:val="center"/>
              <w:rPr>
                <w:rFonts w:ascii="Arial" w:eastAsia="Times New Roman" w:hAnsi="Arial" w:cs="Arial"/>
                <w:b/>
                <w:bCs/>
                <w:sz w:val="16"/>
                <w:szCs w:val="16"/>
                <w:lang w:eastAsia="hr-HR"/>
              </w:rPr>
            </w:pPr>
            <w:r w:rsidRPr="00921660">
              <w:rPr>
                <w:rFonts w:ascii="Arial" w:eastAsia="Times New Roman" w:hAnsi="Arial" w:cs="Arial"/>
                <w:b/>
                <w:bCs/>
                <w:sz w:val="16"/>
                <w:szCs w:val="16"/>
                <w:lang w:eastAsia="hr-HR"/>
              </w:rPr>
              <w:t>Tekući plan</w:t>
            </w:r>
            <w:r w:rsidRPr="00921660">
              <w:rPr>
                <w:rFonts w:ascii="Arial" w:eastAsia="Times New Roman" w:hAnsi="Arial" w:cs="Arial"/>
                <w:b/>
                <w:bCs/>
                <w:sz w:val="16"/>
                <w:szCs w:val="16"/>
                <w:lang w:eastAsia="hr-HR"/>
              </w:rPr>
              <w:br/>
              <w:t>2015.</w:t>
            </w:r>
          </w:p>
        </w:tc>
        <w:tc>
          <w:tcPr>
            <w:tcW w:w="780" w:type="dxa"/>
            <w:tcBorders>
              <w:top w:val="single" w:sz="4" w:space="0" w:color="000080"/>
              <w:left w:val="nil"/>
              <w:bottom w:val="single" w:sz="4" w:space="0" w:color="000080"/>
              <w:right w:val="single" w:sz="4" w:space="0" w:color="000080"/>
            </w:tcBorders>
            <w:shd w:val="clear" w:color="000000" w:fill="DCE6F1"/>
            <w:vAlign w:val="center"/>
            <w:hideMark/>
          </w:tcPr>
          <w:p w:rsidR="00FA7769" w:rsidRPr="00921660" w:rsidRDefault="00FA7769" w:rsidP="002C28ED">
            <w:pPr>
              <w:spacing w:after="0" w:line="240" w:lineRule="auto"/>
              <w:jc w:val="center"/>
              <w:rPr>
                <w:rFonts w:ascii="Arial" w:eastAsia="Times New Roman" w:hAnsi="Arial" w:cs="Arial"/>
                <w:b/>
                <w:bCs/>
                <w:sz w:val="16"/>
                <w:szCs w:val="16"/>
                <w:lang w:eastAsia="hr-HR"/>
              </w:rPr>
            </w:pPr>
            <w:r w:rsidRPr="00921660">
              <w:rPr>
                <w:rFonts w:ascii="Arial" w:eastAsia="Times New Roman" w:hAnsi="Arial" w:cs="Arial"/>
                <w:b/>
                <w:bCs/>
                <w:sz w:val="16"/>
                <w:szCs w:val="16"/>
                <w:lang w:eastAsia="hr-HR"/>
              </w:rPr>
              <w:t>Indeks</w:t>
            </w:r>
          </w:p>
        </w:tc>
      </w:tr>
      <w:tr w:rsidR="00FA7769" w:rsidRPr="00921660" w:rsidTr="00FA7769">
        <w:trPr>
          <w:trHeight w:val="300"/>
        </w:trPr>
        <w:tc>
          <w:tcPr>
            <w:tcW w:w="1220" w:type="dxa"/>
            <w:tcBorders>
              <w:top w:val="nil"/>
              <w:left w:val="single" w:sz="4" w:space="0" w:color="000080"/>
              <w:bottom w:val="single" w:sz="4" w:space="0" w:color="000080"/>
              <w:right w:val="single" w:sz="4" w:space="0" w:color="000080"/>
            </w:tcBorders>
            <w:shd w:val="clear" w:color="000000" w:fill="DCE6F1"/>
            <w:noWrap/>
            <w:vAlign w:val="center"/>
            <w:hideMark/>
          </w:tcPr>
          <w:p w:rsidR="00FA7769" w:rsidRPr="00921660" w:rsidRDefault="00FA7769" w:rsidP="00921660">
            <w:pPr>
              <w:spacing w:after="0" w:line="240" w:lineRule="auto"/>
              <w:ind w:firstLineChars="200" w:firstLine="320"/>
              <w:rPr>
                <w:rFonts w:ascii="Arial" w:eastAsia="Times New Roman" w:hAnsi="Arial" w:cs="Arial"/>
                <w:sz w:val="16"/>
                <w:szCs w:val="16"/>
                <w:lang w:eastAsia="hr-HR"/>
              </w:rPr>
            </w:pPr>
            <w:r w:rsidRPr="00921660">
              <w:rPr>
                <w:rFonts w:ascii="Arial" w:eastAsia="Times New Roman" w:hAnsi="Arial" w:cs="Arial"/>
                <w:sz w:val="16"/>
                <w:szCs w:val="16"/>
                <w:lang w:eastAsia="hr-HR"/>
              </w:rPr>
              <w:t>- 329</w:t>
            </w:r>
          </w:p>
        </w:tc>
        <w:tc>
          <w:tcPr>
            <w:tcW w:w="3400" w:type="dxa"/>
            <w:tcBorders>
              <w:top w:val="nil"/>
              <w:left w:val="nil"/>
              <w:bottom w:val="single" w:sz="4" w:space="0" w:color="000080"/>
              <w:right w:val="single" w:sz="4" w:space="0" w:color="000080"/>
            </w:tcBorders>
            <w:shd w:val="clear" w:color="000000" w:fill="DCE6F1"/>
            <w:noWrap/>
            <w:vAlign w:val="center"/>
            <w:hideMark/>
          </w:tcPr>
          <w:p w:rsidR="00FA7769" w:rsidRPr="00921660" w:rsidRDefault="00FA7769" w:rsidP="00921660">
            <w:pPr>
              <w:spacing w:after="0" w:line="240" w:lineRule="auto"/>
              <w:ind w:firstLineChars="100" w:firstLine="160"/>
              <w:rPr>
                <w:rFonts w:ascii="Arial" w:eastAsia="Times New Roman" w:hAnsi="Arial" w:cs="Arial"/>
                <w:sz w:val="16"/>
                <w:szCs w:val="16"/>
                <w:lang w:eastAsia="hr-HR"/>
              </w:rPr>
            </w:pPr>
            <w:r w:rsidRPr="00921660">
              <w:rPr>
                <w:rFonts w:ascii="Arial" w:eastAsia="Times New Roman" w:hAnsi="Arial" w:cs="Arial"/>
                <w:sz w:val="16"/>
                <w:szCs w:val="16"/>
                <w:lang w:eastAsia="hr-HR"/>
              </w:rPr>
              <w:t>Ostali nespomenuti rashodi poslovanja</w:t>
            </w:r>
          </w:p>
        </w:tc>
        <w:tc>
          <w:tcPr>
            <w:tcW w:w="1240" w:type="dxa"/>
            <w:tcBorders>
              <w:top w:val="nil"/>
              <w:left w:val="nil"/>
              <w:bottom w:val="single" w:sz="4" w:space="0" w:color="000080"/>
              <w:right w:val="single" w:sz="4" w:space="0" w:color="000080"/>
            </w:tcBorders>
            <w:shd w:val="clear" w:color="000000" w:fill="DCE6F1"/>
            <w:noWrap/>
            <w:vAlign w:val="center"/>
            <w:hideMark/>
          </w:tcPr>
          <w:p w:rsidR="00FA7769" w:rsidRPr="00921660" w:rsidRDefault="00FA7769" w:rsidP="00FA7769">
            <w:pPr>
              <w:spacing w:after="0" w:line="240" w:lineRule="auto"/>
              <w:jc w:val="right"/>
              <w:rPr>
                <w:rFonts w:ascii="Arial" w:eastAsia="Times New Roman" w:hAnsi="Arial" w:cs="Arial"/>
                <w:b/>
                <w:bCs/>
                <w:color w:val="000000"/>
                <w:sz w:val="16"/>
                <w:szCs w:val="16"/>
                <w:lang w:eastAsia="hr-HR"/>
              </w:rPr>
            </w:pPr>
            <w:r w:rsidRPr="00921660">
              <w:rPr>
                <w:rFonts w:ascii="Arial" w:eastAsia="Times New Roman" w:hAnsi="Arial" w:cs="Arial"/>
                <w:b/>
                <w:bCs/>
                <w:color w:val="000000"/>
                <w:sz w:val="16"/>
                <w:szCs w:val="16"/>
                <w:lang w:eastAsia="hr-HR"/>
              </w:rPr>
              <w:t>613,466</w:t>
            </w:r>
          </w:p>
        </w:tc>
        <w:tc>
          <w:tcPr>
            <w:tcW w:w="1240" w:type="dxa"/>
            <w:tcBorders>
              <w:top w:val="nil"/>
              <w:left w:val="nil"/>
              <w:bottom w:val="single" w:sz="4" w:space="0" w:color="000080"/>
              <w:right w:val="single" w:sz="4" w:space="0" w:color="000080"/>
            </w:tcBorders>
            <w:shd w:val="clear" w:color="000000" w:fill="DCE6F1"/>
            <w:noWrap/>
            <w:vAlign w:val="center"/>
            <w:hideMark/>
          </w:tcPr>
          <w:p w:rsidR="00FA7769" w:rsidRPr="00921660" w:rsidRDefault="00FA7769" w:rsidP="00FA7769">
            <w:pPr>
              <w:spacing w:after="0" w:line="240" w:lineRule="auto"/>
              <w:jc w:val="right"/>
              <w:rPr>
                <w:rFonts w:ascii="Arial" w:eastAsia="Times New Roman" w:hAnsi="Arial" w:cs="Arial"/>
                <w:b/>
                <w:bCs/>
                <w:color w:val="000000"/>
                <w:sz w:val="16"/>
                <w:szCs w:val="16"/>
                <w:lang w:eastAsia="hr-HR"/>
              </w:rPr>
            </w:pPr>
            <w:r w:rsidRPr="00921660">
              <w:rPr>
                <w:rFonts w:ascii="Arial" w:eastAsia="Times New Roman" w:hAnsi="Arial" w:cs="Arial"/>
                <w:b/>
                <w:bCs/>
                <w:color w:val="000000"/>
                <w:sz w:val="16"/>
                <w:szCs w:val="16"/>
                <w:lang w:eastAsia="hr-HR"/>
              </w:rPr>
              <w:t>538,785</w:t>
            </w:r>
          </w:p>
        </w:tc>
        <w:tc>
          <w:tcPr>
            <w:tcW w:w="820" w:type="dxa"/>
            <w:tcBorders>
              <w:top w:val="nil"/>
              <w:left w:val="nil"/>
              <w:bottom w:val="single" w:sz="4" w:space="0" w:color="000080"/>
              <w:right w:val="single" w:sz="4" w:space="0" w:color="000080"/>
            </w:tcBorders>
            <w:shd w:val="clear" w:color="000000" w:fill="DCE6F1"/>
            <w:noWrap/>
            <w:vAlign w:val="center"/>
            <w:hideMark/>
          </w:tcPr>
          <w:p w:rsidR="00FA7769" w:rsidRPr="00921660" w:rsidRDefault="00FA7769" w:rsidP="00FA7769">
            <w:pPr>
              <w:spacing w:after="0" w:line="240" w:lineRule="auto"/>
              <w:jc w:val="right"/>
              <w:rPr>
                <w:rFonts w:ascii="Arial" w:eastAsia="Times New Roman" w:hAnsi="Arial" w:cs="Arial"/>
                <w:b/>
                <w:bCs/>
                <w:sz w:val="16"/>
                <w:szCs w:val="16"/>
                <w:lang w:eastAsia="hr-HR"/>
              </w:rPr>
            </w:pPr>
            <w:r w:rsidRPr="00921660">
              <w:rPr>
                <w:rFonts w:ascii="Arial" w:eastAsia="Times New Roman" w:hAnsi="Arial" w:cs="Arial"/>
                <w:b/>
                <w:bCs/>
                <w:sz w:val="16"/>
                <w:szCs w:val="16"/>
                <w:lang w:eastAsia="hr-HR"/>
              </w:rPr>
              <w:t>87,8</w:t>
            </w:r>
          </w:p>
        </w:tc>
        <w:tc>
          <w:tcPr>
            <w:tcW w:w="1240" w:type="dxa"/>
            <w:tcBorders>
              <w:top w:val="nil"/>
              <w:left w:val="nil"/>
              <w:bottom w:val="single" w:sz="4" w:space="0" w:color="000080"/>
              <w:right w:val="single" w:sz="4" w:space="0" w:color="000080"/>
            </w:tcBorders>
            <w:shd w:val="clear" w:color="000000" w:fill="DCE6F1"/>
            <w:noWrap/>
            <w:vAlign w:val="center"/>
            <w:hideMark/>
          </w:tcPr>
          <w:p w:rsidR="00FA7769" w:rsidRPr="00921660" w:rsidRDefault="00FA7769" w:rsidP="00FA7769">
            <w:pPr>
              <w:spacing w:after="0" w:line="240" w:lineRule="auto"/>
              <w:jc w:val="right"/>
              <w:rPr>
                <w:rFonts w:ascii="Arial" w:eastAsia="Times New Roman" w:hAnsi="Arial" w:cs="Arial"/>
                <w:b/>
                <w:bCs/>
                <w:color w:val="000000"/>
                <w:sz w:val="16"/>
                <w:szCs w:val="16"/>
                <w:lang w:eastAsia="hr-HR"/>
              </w:rPr>
            </w:pPr>
            <w:r w:rsidRPr="00921660">
              <w:rPr>
                <w:rFonts w:ascii="Arial" w:eastAsia="Times New Roman" w:hAnsi="Arial" w:cs="Arial"/>
                <w:b/>
                <w:bCs/>
                <w:color w:val="000000"/>
                <w:sz w:val="16"/>
                <w:szCs w:val="16"/>
                <w:lang w:eastAsia="hr-HR"/>
              </w:rPr>
              <w:t>948,042</w:t>
            </w:r>
          </w:p>
        </w:tc>
        <w:tc>
          <w:tcPr>
            <w:tcW w:w="780" w:type="dxa"/>
            <w:tcBorders>
              <w:top w:val="nil"/>
              <w:left w:val="nil"/>
              <w:bottom w:val="single" w:sz="4" w:space="0" w:color="000080"/>
              <w:right w:val="single" w:sz="4" w:space="0" w:color="000080"/>
            </w:tcBorders>
            <w:shd w:val="clear" w:color="000000" w:fill="DCE6F1"/>
            <w:noWrap/>
            <w:vAlign w:val="center"/>
            <w:hideMark/>
          </w:tcPr>
          <w:p w:rsidR="00FA7769" w:rsidRPr="00921660" w:rsidRDefault="00FA7769" w:rsidP="00FA7769">
            <w:pPr>
              <w:spacing w:after="0" w:line="240" w:lineRule="auto"/>
              <w:jc w:val="right"/>
              <w:rPr>
                <w:rFonts w:ascii="Arial" w:eastAsia="Times New Roman" w:hAnsi="Arial" w:cs="Arial"/>
                <w:b/>
                <w:bCs/>
                <w:sz w:val="16"/>
                <w:szCs w:val="16"/>
                <w:lang w:eastAsia="hr-HR"/>
              </w:rPr>
            </w:pPr>
            <w:r w:rsidRPr="00921660">
              <w:rPr>
                <w:rFonts w:ascii="Arial" w:eastAsia="Times New Roman" w:hAnsi="Arial" w:cs="Arial"/>
                <w:b/>
                <w:bCs/>
                <w:sz w:val="16"/>
                <w:szCs w:val="16"/>
                <w:lang w:eastAsia="hr-HR"/>
              </w:rPr>
              <w:t>176,0</w:t>
            </w:r>
          </w:p>
        </w:tc>
      </w:tr>
      <w:tr w:rsidR="00FA7769" w:rsidRPr="00921660" w:rsidTr="00FA7769">
        <w:trPr>
          <w:trHeight w:val="300"/>
        </w:trPr>
        <w:tc>
          <w:tcPr>
            <w:tcW w:w="1220" w:type="dxa"/>
            <w:tcBorders>
              <w:top w:val="nil"/>
              <w:left w:val="single" w:sz="4" w:space="0" w:color="000080"/>
              <w:bottom w:val="single" w:sz="4" w:space="0" w:color="000080"/>
              <w:right w:val="single" w:sz="4" w:space="0" w:color="000080"/>
            </w:tcBorders>
            <w:shd w:val="clear" w:color="auto" w:fill="auto"/>
            <w:noWrap/>
            <w:vAlign w:val="center"/>
            <w:hideMark/>
          </w:tcPr>
          <w:p w:rsidR="00FA7769" w:rsidRPr="00921660" w:rsidRDefault="00FA7769" w:rsidP="00921660">
            <w:pPr>
              <w:spacing w:after="0" w:line="240" w:lineRule="auto"/>
              <w:ind w:firstLineChars="200" w:firstLine="320"/>
              <w:rPr>
                <w:rFonts w:ascii="Arial" w:eastAsia="Times New Roman" w:hAnsi="Arial" w:cs="Arial"/>
                <w:sz w:val="16"/>
                <w:szCs w:val="16"/>
                <w:lang w:eastAsia="hr-HR"/>
              </w:rPr>
            </w:pPr>
            <w:r w:rsidRPr="00921660">
              <w:rPr>
                <w:rFonts w:ascii="Arial" w:eastAsia="Times New Roman" w:hAnsi="Arial" w:cs="Arial"/>
                <w:sz w:val="16"/>
                <w:szCs w:val="16"/>
                <w:lang w:eastAsia="hr-HR"/>
              </w:rPr>
              <w:t>- 1+2+8</w:t>
            </w:r>
          </w:p>
        </w:tc>
        <w:tc>
          <w:tcPr>
            <w:tcW w:w="3400" w:type="dxa"/>
            <w:tcBorders>
              <w:top w:val="nil"/>
              <w:left w:val="nil"/>
              <w:bottom w:val="single" w:sz="4" w:space="0" w:color="000080"/>
              <w:right w:val="single" w:sz="4" w:space="0" w:color="000080"/>
            </w:tcBorders>
            <w:shd w:val="clear" w:color="auto" w:fill="auto"/>
            <w:noWrap/>
            <w:vAlign w:val="center"/>
            <w:hideMark/>
          </w:tcPr>
          <w:p w:rsidR="00FA7769" w:rsidRPr="00921660" w:rsidRDefault="00FA7769" w:rsidP="00921660">
            <w:pPr>
              <w:spacing w:after="0" w:line="240" w:lineRule="auto"/>
              <w:ind w:firstLineChars="100" w:firstLine="160"/>
              <w:rPr>
                <w:rFonts w:ascii="Arial" w:eastAsia="Times New Roman" w:hAnsi="Arial" w:cs="Arial"/>
                <w:sz w:val="16"/>
                <w:szCs w:val="16"/>
                <w:lang w:eastAsia="hr-HR"/>
              </w:rPr>
            </w:pPr>
            <w:r w:rsidRPr="00921660">
              <w:rPr>
                <w:rFonts w:ascii="Arial" w:eastAsia="Times New Roman" w:hAnsi="Arial" w:cs="Arial"/>
                <w:sz w:val="16"/>
                <w:szCs w:val="16"/>
                <w:lang w:eastAsia="hr-HR"/>
              </w:rPr>
              <w:t>Ostali nespomenuti rashodi u limitu</w:t>
            </w:r>
          </w:p>
        </w:tc>
        <w:tc>
          <w:tcPr>
            <w:tcW w:w="1240" w:type="dxa"/>
            <w:tcBorders>
              <w:top w:val="nil"/>
              <w:left w:val="nil"/>
              <w:bottom w:val="single" w:sz="4" w:space="0" w:color="000080"/>
              <w:right w:val="single" w:sz="4" w:space="0" w:color="000080"/>
            </w:tcBorders>
            <w:shd w:val="clear" w:color="auto" w:fill="auto"/>
            <w:noWrap/>
            <w:vAlign w:val="center"/>
            <w:hideMark/>
          </w:tcPr>
          <w:p w:rsidR="00FA7769" w:rsidRPr="00921660" w:rsidRDefault="00FA7769" w:rsidP="00FA7769">
            <w:pPr>
              <w:spacing w:after="0" w:line="240" w:lineRule="auto"/>
              <w:jc w:val="right"/>
              <w:rPr>
                <w:rFonts w:ascii="Arial" w:eastAsia="Times New Roman" w:hAnsi="Arial" w:cs="Arial"/>
                <w:color w:val="000000"/>
                <w:sz w:val="16"/>
                <w:szCs w:val="16"/>
                <w:lang w:eastAsia="hr-HR"/>
              </w:rPr>
            </w:pPr>
            <w:r w:rsidRPr="00921660">
              <w:rPr>
                <w:rFonts w:ascii="Arial" w:eastAsia="Times New Roman" w:hAnsi="Arial" w:cs="Arial"/>
                <w:color w:val="000000"/>
                <w:sz w:val="16"/>
                <w:szCs w:val="16"/>
                <w:lang w:eastAsia="hr-HR"/>
              </w:rPr>
              <w:t>547,89</w:t>
            </w:r>
            <w:r w:rsidR="00B24374">
              <w:rPr>
                <w:rFonts w:ascii="Arial" w:eastAsia="Times New Roman" w:hAnsi="Arial" w:cs="Arial"/>
                <w:color w:val="000000"/>
                <w:sz w:val="16"/>
                <w:szCs w:val="16"/>
                <w:lang w:eastAsia="hr-HR"/>
              </w:rPr>
              <w:t>0</w:t>
            </w:r>
          </w:p>
        </w:tc>
        <w:tc>
          <w:tcPr>
            <w:tcW w:w="1240" w:type="dxa"/>
            <w:tcBorders>
              <w:top w:val="nil"/>
              <w:left w:val="nil"/>
              <w:bottom w:val="single" w:sz="4" w:space="0" w:color="000080"/>
              <w:right w:val="single" w:sz="4" w:space="0" w:color="000080"/>
            </w:tcBorders>
            <w:shd w:val="clear" w:color="auto" w:fill="auto"/>
            <w:noWrap/>
            <w:vAlign w:val="center"/>
            <w:hideMark/>
          </w:tcPr>
          <w:p w:rsidR="00FA7769" w:rsidRPr="00921660" w:rsidRDefault="00FA7769" w:rsidP="00FA7769">
            <w:pPr>
              <w:spacing w:after="0" w:line="240" w:lineRule="auto"/>
              <w:jc w:val="right"/>
              <w:rPr>
                <w:rFonts w:ascii="Arial" w:eastAsia="Times New Roman" w:hAnsi="Arial" w:cs="Arial"/>
                <w:color w:val="000000"/>
                <w:sz w:val="16"/>
                <w:szCs w:val="16"/>
                <w:lang w:eastAsia="hr-HR"/>
              </w:rPr>
            </w:pPr>
            <w:r w:rsidRPr="00921660">
              <w:rPr>
                <w:rFonts w:ascii="Arial" w:eastAsia="Times New Roman" w:hAnsi="Arial" w:cs="Arial"/>
                <w:color w:val="000000"/>
                <w:sz w:val="16"/>
                <w:szCs w:val="16"/>
                <w:lang w:eastAsia="hr-HR"/>
              </w:rPr>
              <w:t>517,746</w:t>
            </w:r>
          </w:p>
        </w:tc>
        <w:tc>
          <w:tcPr>
            <w:tcW w:w="820" w:type="dxa"/>
            <w:tcBorders>
              <w:top w:val="nil"/>
              <w:left w:val="nil"/>
              <w:bottom w:val="single" w:sz="4" w:space="0" w:color="000080"/>
              <w:right w:val="single" w:sz="4" w:space="0" w:color="000080"/>
            </w:tcBorders>
            <w:shd w:val="clear" w:color="auto" w:fill="auto"/>
            <w:noWrap/>
            <w:vAlign w:val="center"/>
            <w:hideMark/>
          </w:tcPr>
          <w:p w:rsidR="00FA7769" w:rsidRPr="00921660" w:rsidRDefault="00FA7769" w:rsidP="00FA7769">
            <w:pPr>
              <w:spacing w:after="0" w:line="240" w:lineRule="auto"/>
              <w:jc w:val="right"/>
              <w:rPr>
                <w:rFonts w:ascii="Arial" w:eastAsia="Times New Roman" w:hAnsi="Arial" w:cs="Arial"/>
                <w:sz w:val="16"/>
                <w:szCs w:val="16"/>
                <w:lang w:eastAsia="hr-HR"/>
              </w:rPr>
            </w:pPr>
            <w:r w:rsidRPr="00921660">
              <w:rPr>
                <w:rFonts w:ascii="Arial" w:eastAsia="Times New Roman" w:hAnsi="Arial" w:cs="Arial"/>
                <w:sz w:val="16"/>
                <w:szCs w:val="16"/>
                <w:lang w:eastAsia="hr-HR"/>
              </w:rPr>
              <w:t>94,5</w:t>
            </w:r>
          </w:p>
        </w:tc>
        <w:tc>
          <w:tcPr>
            <w:tcW w:w="1240" w:type="dxa"/>
            <w:tcBorders>
              <w:top w:val="nil"/>
              <w:left w:val="nil"/>
              <w:bottom w:val="single" w:sz="4" w:space="0" w:color="000080"/>
              <w:right w:val="single" w:sz="4" w:space="0" w:color="000080"/>
            </w:tcBorders>
            <w:shd w:val="clear" w:color="auto" w:fill="auto"/>
            <w:noWrap/>
            <w:vAlign w:val="center"/>
            <w:hideMark/>
          </w:tcPr>
          <w:p w:rsidR="00FA7769" w:rsidRPr="00921660" w:rsidRDefault="00FA7769" w:rsidP="00FA7769">
            <w:pPr>
              <w:spacing w:after="0" w:line="240" w:lineRule="auto"/>
              <w:jc w:val="right"/>
              <w:rPr>
                <w:rFonts w:ascii="Arial" w:eastAsia="Times New Roman" w:hAnsi="Arial" w:cs="Arial"/>
                <w:color w:val="000000"/>
                <w:sz w:val="16"/>
                <w:szCs w:val="16"/>
                <w:lang w:eastAsia="hr-HR"/>
              </w:rPr>
            </w:pPr>
            <w:r w:rsidRPr="00921660">
              <w:rPr>
                <w:rFonts w:ascii="Arial" w:eastAsia="Times New Roman" w:hAnsi="Arial" w:cs="Arial"/>
                <w:color w:val="000000"/>
                <w:sz w:val="16"/>
                <w:szCs w:val="16"/>
                <w:lang w:eastAsia="hr-HR"/>
              </w:rPr>
              <w:t>736,212</w:t>
            </w:r>
          </w:p>
        </w:tc>
        <w:tc>
          <w:tcPr>
            <w:tcW w:w="780" w:type="dxa"/>
            <w:tcBorders>
              <w:top w:val="nil"/>
              <w:left w:val="nil"/>
              <w:bottom w:val="single" w:sz="4" w:space="0" w:color="000080"/>
              <w:right w:val="single" w:sz="4" w:space="0" w:color="000080"/>
            </w:tcBorders>
            <w:shd w:val="clear" w:color="auto" w:fill="auto"/>
            <w:noWrap/>
            <w:vAlign w:val="center"/>
            <w:hideMark/>
          </w:tcPr>
          <w:p w:rsidR="00FA7769" w:rsidRPr="00921660" w:rsidRDefault="00FA7769" w:rsidP="00FA7769">
            <w:pPr>
              <w:spacing w:after="0" w:line="240" w:lineRule="auto"/>
              <w:jc w:val="right"/>
              <w:rPr>
                <w:rFonts w:ascii="Arial" w:eastAsia="Times New Roman" w:hAnsi="Arial" w:cs="Arial"/>
                <w:sz w:val="16"/>
                <w:szCs w:val="16"/>
                <w:lang w:eastAsia="hr-HR"/>
              </w:rPr>
            </w:pPr>
            <w:r w:rsidRPr="00921660">
              <w:rPr>
                <w:rFonts w:ascii="Arial" w:eastAsia="Times New Roman" w:hAnsi="Arial" w:cs="Arial"/>
                <w:sz w:val="16"/>
                <w:szCs w:val="16"/>
                <w:lang w:eastAsia="hr-HR"/>
              </w:rPr>
              <w:t>142,2</w:t>
            </w:r>
          </w:p>
        </w:tc>
      </w:tr>
      <w:tr w:rsidR="00FA7769" w:rsidRPr="00921660" w:rsidTr="00FA7769">
        <w:trPr>
          <w:trHeight w:val="300"/>
        </w:trPr>
        <w:tc>
          <w:tcPr>
            <w:tcW w:w="1220" w:type="dxa"/>
            <w:tcBorders>
              <w:top w:val="nil"/>
              <w:left w:val="single" w:sz="4" w:space="0" w:color="000080"/>
              <w:bottom w:val="single" w:sz="4" w:space="0" w:color="000080"/>
              <w:right w:val="single" w:sz="4" w:space="0" w:color="000080"/>
            </w:tcBorders>
            <w:shd w:val="clear" w:color="auto" w:fill="auto"/>
            <w:noWrap/>
            <w:vAlign w:val="center"/>
            <w:hideMark/>
          </w:tcPr>
          <w:p w:rsidR="00FA7769" w:rsidRPr="00921660" w:rsidRDefault="00FA7769" w:rsidP="00921660">
            <w:pPr>
              <w:spacing w:after="0" w:line="240" w:lineRule="auto"/>
              <w:ind w:firstLineChars="200" w:firstLine="320"/>
              <w:rPr>
                <w:rFonts w:ascii="Arial" w:eastAsia="Times New Roman" w:hAnsi="Arial" w:cs="Arial"/>
                <w:sz w:val="16"/>
                <w:szCs w:val="16"/>
                <w:lang w:eastAsia="hr-HR"/>
              </w:rPr>
            </w:pPr>
            <w:r w:rsidRPr="00921660">
              <w:rPr>
                <w:rFonts w:ascii="Arial" w:eastAsia="Times New Roman" w:hAnsi="Arial" w:cs="Arial"/>
                <w:sz w:val="16"/>
                <w:szCs w:val="16"/>
                <w:lang w:eastAsia="hr-HR"/>
              </w:rPr>
              <w:t>- ostali izvori</w:t>
            </w:r>
          </w:p>
        </w:tc>
        <w:tc>
          <w:tcPr>
            <w:tcW w:w="3400" w:type="dxa"/>
            <w:tcBorders>
              <w:top w:val="nil"/>
              <w:left w:val="nil"/>
              <w:bottom w:val="single" w:sz="4" w:space="0" w:color="000080"/>
              <w:right w:val="single" w:sz="4" w:space="0" w:color="000080"/>
            </w:tcBorders>
            <w:shd w:val="clear" w:color="auto" w:fill="auto"/>
            <w:vAlign w:val="center"/>
            <w:hideMark/>
          </w:tcPr>
          <w:p w:rsidR="00FA7769" w:rsidRPr="00921660" w:rsidRDefault="00FA7769" w:rsidP="00921660">
            <w:pPr>
              <w:spacing w:after="0" w:line="240" w:lineRule="auto"/>
              <w:ind w:firstLineChars="100" w:firstLine="160"/>
              <w:rPr>
                <w:rFonts w:ascii="Arial" w:eastAsia="Times New Roman" w:hAnsi="Arial" w:cs="Arial"/>
                <w:sz w:val="16"/>
                <w:szCs w:val="16"/>
                <w:lang w:eastAsia="hr-HR"/>
              </w:rPr>
            </w:pPr>
            <w:r w:rsidRPr="00921660">
              <w:rPr>
                <w:rFonts w:ascii="Arial" w:eastAsia="Times New Roman" w:hAnsi="Arial" w:cs="Arial"/>
                <w:sz w:val="16"/>
                <w:szCs w:val="16"/>
                <w:lang w:eastAsia="hr-HR"/>
              </w:rPr>
              <w:t>Ostali nespomenuti rashodi izvan limita</w:t>
            </w:r>
          </w:p>
        </w:tc>
        <w:tc>
          <w:tcPr>
            <w:tcW w:w="1240" w:type="dxa"/>
            <w:tcBorders>
              <w:top w:val="nil"/>
              <w:left w:val="nil"/>
              <w:bottom w:val="single" w:sz="4" w:space="0" w:color="000080"/>
              <w:right w:val="single" w:sz="4" w:space="0" w:color="000080"/>
            </w:tcBorders>
            <w:shd w:val="clear" w:color="auto" w:fill="auto"/>
            <w:noWrap/>
            <w:vAlign w:val="center"/>
            <w:hideMark/>
          </w:tcPr>
          <w:p w:rsidR="00FA7769" w:rsidRPr="00921660" w:rsidRDefault="00FA7769" w:rsidP="00FA7769">
            <w:pPr>
              <w:spacing w:after="0" w:line="240" w:lineRule="auto"/>
              <w:jc w:val="right"/>
              <w:rPr>
                <w:rFonts w:ascii="Arial" w:eastAsia="Times New Roman" w:hAnsi="Arial" w:cs="Arial"/>
                <w:color w:val="000000"/>
                <w:sz w:val="16"/>
                <w:szCs w:val="16"/>
                <w:lang w:eastAsia="hr-HR"/>
              </w:rPr>
            </w:pPr>
            <w:r w:rsidRPr="00921660">
              <w:rPr>
                <w:rFonts w:ascii="Arial" w:eastAsia="Times New Roman" w:hAnsi="Arial" w:cs="Arial"/>
                <w:color w:val="000000"/>
                <w:sz w:val="16"/>
                <w:szCs w:val="16"/>
                <w:lang w:eastAsia="hr-HR"/>
              </w:rPr>
              <w:t>65,576</w:t>
            </w:r>
          </w:p>
        </w:tc>
        <w:tc>
          <w:tcPr>
            <w:tcW w:w="1240" w:type="dxa"/>
            <w:tcBorders>
              <w:top w:val="nil"/>
              <w:left w:val="nil"/>
              <w:bottom w:val="single" w:sz="4" w:space="0" w:color="000080"/>
              <w:right w:val="single" w:sz="4" w:space="0" w:color="000080"/>
            </w:tcBorders>
            <w:shd w:val="clear" w:color="auto" w:fill="auto"/>
            <w:noWrap/>
            <w:vAlign w:val="center"/>
            <w:hideMark/>
          </w:tcPr>
          <w:p w:rsidR="00FA7769" w:rsidRPr="00921660" w:rsidRDefault="00FA7769" w:rsidP="00FA7769">
            <w:pPr>
              <w:spacing w:after="0" w:line="240" w:lineRule="auto"/>
              <w:jc w:val="right"/>
              <w:rPr>
                <w:rFonts w:ascii="Arial" w:eastAsia="Times New Roman" w:hAnsi="Arial" w:cs="Arial"/>
                <w:color w:val="000000"/>
                <w:sz w:val="16"/>
                <w:szCs w:val="16"/>
                <w:lang w:eastAsia="hr-HR"/>
              </w:rPr>
            </w:pPr>
            <w:r w:rsidRPr="00921660">
              <w:rPr>
                <w:rFonts w:ascii="Arial" w:eastAsia="Times New Roman" w:hAnsi="Arial" w:cs="Arial"/>
                <w:color w:val="000000"/>
                <w:sz w:val="16"/>
                <w:szCs w:val="16"/>
                <w:lang w:eastAsia="hr-HR"/>
              </w:rPr>
              <w:t>21,039</w:t>
            </w:r>
          </w:p>
        </w:tc>
        <w:tc>
          <w:tcPr>
            <w:tcW w:w="820" w:type="dxa"/>
            <w:tcBorders>
              <w:top w:val="nil"/>
              <w:left w:val="nil"/>
              <w:bottom w:val="single" w:sz="4" w:space="0" w:color="000080"/>
              <w:right w:val="single" w:sz="4" w:space="0" w:color="000080"/>
            </w:tcBorders>
            <w:shd w:val="clear" w:color="auto" w:fill="auto"/>
            <w:noWrap/>
            <w:vAlign w:val="center"/>
            <w:hideMark/>
          </w:tcPr>
          <w:p w:rsidR="00FA7769" w:rsidRPr="00921660" w:rsidRDefault="00FA7769" w:rsidP="00FA7769">
            <w:pPr>
              <w:spacing w:after="0" w:line="240" w:lineRule="auto"/>
              <w:jc w:val="right"/>
              <w:rPr>
                <w:rFonts w:ascii="Arial" w:eastAsia="Times New Roman" w:hAnsi="Arial" w:cs="Arial"/>
                <w:sz w:val="16"/>
                <w:szCs w:val="16"/>
                <w:lang w:eastAsia="hr-HR"/>
              </w:rPr>
            </w:pPr>
            <w:r w:rsidRPr="00921660">
              <w:rPr>
                <w:rFonts w:ascii="Arial" w:eastAsia="Times New Roman" w:hAnsi="Arial" w:cs="Arial"/>
                <w:sz w:val="16"/>
                <w:szCs w:val="16"/>
                <w:lang w:eastAsia="hr-HR"/>
              </w:rPr>
              <w:t>32,1</w:t>
            </w:r>
          </w:p>
        </w:tc>
        <w:tc>
          <w:tcPr>
            <w:tcW w:w="1240" w:type="dxa"/>
            <w:tcBorders>
              <w:top w:val="nil"/>
              <w:left w:val="nil"/>
              <w:bottom w:val="single" w:sz="4" w:space="0" w:color="000080"/>
              <w:right w:val="single" w:sz="4" w:space="0" w:color="000080"/>
            </w:tcBorders>
            <w:shd w:val="clear" w:color="auto" w:fill="auto"/>
            <w:noWrap/>
            <w:vAlign w:val="center"/>
            <w:hideMark/>
          </w:tcPr>
          <w:p w:rsidR="00FA7769" w:rsidRPr="00921660" w:rsidRDefault="00FA7769" w:rsidP="00FA7769">
            <w:pPr>
              <w:spacing w:after="0" w:line="240" w:lineRule="auto"/>
              <w:jc w:val="right"/>
              <w:rPr>
                <w:rFonts w:ascii="Arial" w:eastAsia="Times New Roman" w:hAnsi="Arial" w:cs="Arial"/>
                <w:color w:val="000000"/>
                <w:sz w:val="16"/>
                <w:szCs w:val="16"/>
                <w:lang w:eastAsia="hr-HR"/>
              </w:rPr>
            </w:pPr>
            <w:r w:rsidRPr="00921660">
              <w:rPr>
                <w:rFonts w:ascii="Arial" w:eastAsia="Times New Roman" w:hAnsi="Arial" w:cs="Arial"/>
                <w:color w:val="000000"/>
                <w:sz w:val="16"/>
                <w:szCs w:val="16"/>
                <w:lang w:eastAsia="hr-HR"/>
              </w:rPr>
              <w:t>211,829</w:t>
            </w:r>
          </w:p>
        </w:tc>
        <w:tc>
          <w:tcPr>
            <w:tcW w:w="780" w:type="dxa"/>
            <w:tcBorders>
              <w:top w:val="nil"/>
              <w:left w:val="nil"/>
              <w:bottom w:val="single" w:sz="4" w:space="0" w:color="000080"/>
              <w:right w:val="single" w:sz="4" w:space="0" w:color="000080"/>
            </w:tcBorders>
            <w:shd w:val="clear" w:color="auto" w:fill="auto"/>
            <w:noWrap/>
            <w:vAlign w:val="center"/>
            <w:hideMark/>
          </w:tcPr>
          <w:p w:rsidR="00FA7769" w:rsidRPr="00921660" w:rsidRDefault="00FA7769" w:rsidP="00FA7769">
            <w:pPr>
              <w:spacing w:after="0" w:line="240" w:lineRule="auto"/>
              <w:jc w:val="right"/>
              <w:rPr>
                <w:rFonts w:ascii="Arial" w:eastAsia="Times New Roman" w:hAnsi="Arial" w:cs="Arial"/>
                <w:sz w:val="16"/>
                <w:szCs w:val="16"/>
                <w:lang w:eastAsia="hr-HR"/>
              </w:rPr>
            </w:pPr>
            <w:r w:rsidRPr="00921660">
              <w:rPr>
                <w:rFonts w:ascii="Arial" w:eastAsia="Times New Roman" w:hAnsi="Arial" w:cs="Arial"/>
                <w:sz w:val="16"/>
                <w:szCs w:val="16"/>
                <w:lang w:eastAsia="hr-HR"/>
              </w:rPr>
              <w:t>1.006,8</w:t>
            </w:r>
          </w:p>
        </w:tc>
      </w:tr>
    </w:tbl>
    <w:p w:rsidR="00222304" w:rsidRPr="00FA7F54" w:rsidRDefault="00222304" w:rsidP="00C83540">
      <w:pPr>
        <w:spacing w:line="240" w:lineRule="auto"/>
        <w:rPr>
          <w:rFonts w:ascii="Times New Roman" w:hAnsi="Times New Roman" w:cs="Times New Roman"/>
        </w:rPr>
      </w:pPr>
    </w:p>
    <w:p w:rsidR="00222304" w:rsidRPr="00FA7F54" w:rsidRDefault="00222304" w:rsidP="006B7B79">
      <w:pPr>
        <w:pStyle w:val="Naslov2"/>
        <w:jc w:val="both"/>
        <w:rPr>
          <w:rFonts w:ascii="Times New Roman" w:hAnsi="Times New Roman" w:cs="Times New Roman"/>
          <w:color w:val="auto"/>
          <w:sz w:val="22"/>
          <w:szCs w:val="22"/>
        </w:rPr>
      </w:pPr>
      <w:bookmarkStart w:id="114" w:name="_Toc434411199"/>
      <w:bookmarkStart w:id="115" w:name="_Toc436402342"/>
      <w:r w:rsidRPr="00FA7F54">
        <w:rPr>
          <w:rFonts w:ascii="Times New Roman" w:hAnsi="Times New Roman" w:cs="Times New Roman"/>
          <w:color w:val="auto"/>
          <w:sz w:val="22"/>
          <w:szCs w:val="22"/>
        </w:rPr>
        <w:t>NAKNADE ZA RAD PREDSTAVNIČKIH I IZVRŠNIH TIJELA, POVJERENSTAVA I SLIČNO (3291)</w:t>
      </w:r>
      <w:bookmarkEnd w:id="114"/>
      <w:bookmarkEnd w:id="115"/>
    </w:p>
    <w:p w:rsidR="00222304" w:rsidRPr="00FA7F54" w:rsidRDefault="00222304" w:rsidP="00222304">
      <w:pPr>
        <w:spacing w:line="240" w:lineRule="auto"/>
        <w:jc w:val="both"/>
        <w:rPr>
          <w:rFonts w:ascii="Times New Roman" w:hAnsi="Times New Roman" w:cs="Times New Roman"/>
        </w:rPr>
      </w:pPr>
      <w:r w:rsidRPr="00FA7F54">
        <w:rPr>
          <w:rFonts w:ascii="Times New Roman" w:hAnsi="Times New Roman" w:cs="Times New Roman"/>
        </w:rPr>
        <w:t xml:space="preserve">Prema iskazanim podacima u financijskim izvještajima </w:t>
      </w:r>
      <w:r w:rsidR="00F850ED" w:rsidRPr="00FA7F54">
        <w:rPr>
          <w:rFonts w:ascii="Times New Roman" w:hAnsi="Times New Roman" w:cs="Times New Roman"/>
        </w:rPr>
        <w:t>naknade za rad predstavničkih i izvršnih tijela, povjerenstava i slično</w:t>
      </w:r>
      <w:r w:rsidRPr="00FA7F54">
        <w:rPr>
          <w:rFonts w:ascii="Times New Roman" w:hAnsi="Times New Roman" w:cs="Times New Roman"/>
        </w:rPr>
        <w:t xml:space="preserve"> u 2013. godini iznosil</w:t>
      </w:r>
      <w:r w:rsidR="005E5265">
        <w:rPr>
          <w:rFonts w:ascii="Times New Roman" w:hAnsi="Times New Roman" w:cs="Times New Roman"/>
        </w:rPr>
        <w:t>e</w:t>
      </w:r>
      <w:r w:rsidRPr="00FA7F54">
        <w:rPr>
          <w:rFonts w:ascii="Times New Roman" w:hAnsi="Times New Roman" w:cs="Times New Roman"/>
        </w:rPr>
        <w:t xml:space="preserve"> su </w:t>
      </w:r>
      <w:r w:rsidR="00DD45E3" w:rsidRPr="00FA7F54">
        <w:rPr>
          <w:rFonts w:ascii="Times New Roman" w:hAnsi="Times New Roman" w:cs="Times New Roman"/>
        </w:rPr>
        <w:t>153,6</w:t>
      </w:r>
      <w:r w:rsidRPr="00FA7F54">
        <w:rPr>
          <w:rFonts w:ascii="Times New Roman" w:hAnsi="Times New Roman" w:cs="Times New Roman"/>
        </w:rPr>
        <w:t xml:space="preserve"> mil. kuna, a u 2014. godini </w:t>
      </w:r>
      <w:r w:rsidR="00DD45E3" w:rsidRPr="00FA7F54">
        <w:rPr>
          <w:rFonts w:ascii="Times New Roman" w:hAnsi="Times New Roman" w:cs="Times New Roman"/>
        </w:rPr>
        <w:t>119,4</w:t>
      </w:r>
      <w:r w:rsidRPr="00FA7F54">
        <w:rPr>
          <w:rFonts w:ascii="Times New Roman" w:hAnsi="Times New Roman" w:cs="Times New Roman"/>
        </w:rPr>
        <w:t xml:space="preserve"> mil. kuna. U državnom proračunu za 2015. godinu planirano je </w:t>
      </w:r>
      <w:r w:rsidR="00DD45E3" w:rsidRPr="00FA7F54">
        <w:rPr>
          <w:rFonts w:ascii="Times New Roman" w:hAnsi="Times New Roman" w:cs="Times New Roman"/>
        </w:rPr>
        <w:t>215,9</w:t>
      </w:r>
      <w:r w:rsidRPr="00FA7F54">
        <w:rPr>
          <w:rFonts w:ascii="Times New Roman" w:hAnsi="Times New Roman" w:cs="Times New Roman"/>
        </w:rPr>
        <w:t xml:space="preserve"> mil. kuna navedenih rashoda od čega se </w:t>
      </w:r>
      <w:r w:rsidR="00DD45E3" w:rsidRPr="00FA7F54">
        <w:rPr>
          <w:rFonts w:ascii="Times New Roman" w:hAnsi="Times New Roman" w:cs="Times New Roman"/>
        </w:rPr>
        <w:t>199</w:t>
      </w:r>
      <w:r w:rsidR="005E5265">
        <w:rPr>
          <w:rFonts w:ascii="Times New Roman" w:hAnsi="Times New Roman" w:cs="Times New Roman"/>
        </w:rPr>
        <w:t>,0</w:t>
      </w:r>
      <w:r w:rsidRPr="00FA7F54">
        <w:rPr>
          <w:rFonts w:ascii="Times New Roman" w:hAnsi="Times New Roman" w:cs="Times New Roman"/>
        </w:rPr>
        <w:t xml:space="preserve"> mil. </w:t>
      </w:r>
      <w:r w:rsidR="005E5265">
        <w:rPr>
          <w:rFonts w:ascii="Times New Roman" w:hAnsi="Times New Roman" w:cs="Times New Roman"/>
        </w:rPr>
        <w:t xml:space="preserve">kuna </w:t>
      </w:r>
      <w:r w:rsidRPr="00FA7F54">
        <w:rPr>
          <w:rFonts w:ascii="Times New Roman" w:hAnsi="Times New Roman" w:cs="Times New Roman"/>
        </w:rPr>
        <w:t>financira iz izvora u limitu.</w:t>
      </w:r>
    </w:p>
    <w:p w:rsidR="00222304" w:rsidRPr="00FA7F54" w:rsidRDefault="00222304" w:rsidP="00222304">
      <w:pPr>
        <w:spacing w:line="240" w:lineRule="auto"/>
        <w:rPr>
          <w:rFonts w:ascii="Times New Roman" w:hAnsi="Times New Roman" w:cs="Times New Roman"/>
        </w:rPr>
      </w:pPr>
      <w:r w:rsidRPr="00FA7F54">
        <w:rPr>
          <w:rFonts w:ascii="Times New Roman" w:hAnsi="Times New Roman" w:cs="Times New Roman"/>
        </w:rPr>
        <w:t>Najveći dio rashoda odnosi se na</w:t>
      </w:r>
      <w:r w:rsidR="00A0449E" w:rsidRPr="00FA7F54">
        <w:rPr>
          <w:rFonts w:ascii="Times New Roman" w:hAnsi="Times New Roman" w:cs="Times New Roman"/>
        </w:rPr>
        <w:t xml:space="preserve"> Državno izborno povjerenstvo</w:t>
      </w:r>
      <w:r w:rsidRPr="00FA7F54">
        <w:rPr>
          <w:rFonts w:ascii="Times New Roman" w:hAnsi="Times New Roman" w:cs="Times New Roman"/>
        </w:rPr>
        <w:t xml:space="preserve"> </w:t>
      </w:r>
      <w:r w:rsidR="00A0449E" w:rsidRPr="00FA7F54">
        <w:rPr>
          <w:rFonts w:ascii="Times New Roman" w:hAnsi="Times New Roman" w:cs="Times New Roman"/>
        </w:rPr>
        <w:t>u okviru ostalih državnih tijela te na tijela izvršne vlasti</w:t>
      </w:r>
      <w:r w:rsidRPr="00FA7F54">
        <w:rPr>
          <w:rFonts w:ascii="Times New Roman" w:hAnsi="Times New Roman" w:cs="Times New Roman"/>
        </w:rPr>
        <w:t>.</w:t>
      </w:r>
    </w:p>
    <w:p w:rsidR="009835A2" w:rsidRPr="005E5265" w:rsidRDefault="009835A2" w:rsidP="006B7B79">
      <w:pPr>
        <w:pStyle w:val="Opisslike"/>
        <w:spacing w:after="0"/>
        <w:jc w:val="both"/>
        <w:rPr>
          <w:rFonts w:ascii="Times New Roman" w:hAnsi="Times New Roman" w:cs="Times New Roman"/>
          <w:sz w:val="20"/>
          <w:szCs w:val="20"/>
        </w:rPr>
      </w:pPr>
      <w:bookmarkStart w:id="116" w:name="_Toc436402302"/>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55</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0C7430" w:rsidRPr="006B7B79">
        <w:rPr>
          <w:rFonts w:ascii="Times New Roman" w:hAnsi="Times New Roman" w:cs="Times New Roman"/>
          <w:sz w:val="20"/>
          <w:szCs w:val="20"/>
        </w:rPr>
        <w:t xml:space="preserve"> Naknade za rad predstavničkih i izvršnih tijela, povjerenstava i slično prema podacima iskazanim u financijskim izvještajima proračunskih i izvanproračunskih korisnika za 2013. i 2014. godinu te planu Državnog proračuna za 2015. godinu</w:t>
      </w:r>
      <w:bookmarkEnd w:id="116"/>
    </w:p>
    <w:p w:rsidR="00222304" w:rsidRPr="00FA7F54" w:rsidRDefault="00DD0C21" w:rsidP="00C83540">
      <w:pPr>
        <w:spacing w:line="240" w:lineRule="auto"/>
        <w:rPr>
          <w:rFonts w:ascii="Times New Roman" w:hAnsi="Times New Roman" w:cs="Times New Roman"/>
        </w:rPr>
      </w:pPr>
      <w:r w:rsidRPr="00DD0C21">
        <w:rPr>
          <w:noProof/>
          <w:lang w:eastAsia="hr-HR"/>
        </w:rPr>
        <w:drawing>
          <wp:inline distT="0" distB="0" distL="0" distR="0" wp14:anchorId="69B002A4" wp14:editId="206239C7">
            <wp:extent cx="5760720" cy="3389748"/>
            <wp:effectExtent l="0" t="0" r="0" b="1270"/>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3389748"/>
                    </a:xfrm>
                    <a:prstGeom prst="rect">
                      <a:avLst/>
                    </a:prstGeom>
                    <a:noFill/>
                    <a:ln>
                      <a:noFill/>
                    </a:ln>
                  </pic:spPr>
                </pic:pic>
              </a:graphicData>
            </a:graphic>
          </wp:inline>
        </w:drawing>
      </w:r>
    </w:p>
    <w:p w:rsidR="00E570C5" w:rsidRPr="00FA7F54" w:rsidRDefault="00017961" w:rsidP="006B7B79">
      <w:pPr>
        <w:spacing w:line="240" w:lineRule="auto"/>
        <w:jc w:val="both"/>
        <w:rPr>
          <w:rFonts w:ascii="Times New Roman" w:hAnsi="Times New Roman" w:cs="Times New Roman"/>
        </w:rPr>
      </w:pPr>
      <w:r w:rsidRPr="00FA7F54">
        <w:rPr>
          <w:rFonts w:ascii="Times New Roman" w:hAnsi="Times New Roman" w:cs="Times New Roman"/>
        </w:rPr>
        <w:t>Najveći dio ovih rashoda odnosi se na naknade članovima povjerenstava te na naknade članovima predstavničkih i izvršnih tijela</w:t>
      </w:r>
      <w:r w:rsidR="008E16D0" w:rsidRPr="00FA7F54">
        <w:rPr>
          <w:rFonts w:ascii="Times New Roman" w:hAnsi="Times New Roman" w:cs="Times New Roman"/>
        </w:rPr>
        <w:t>.</w:t>
      </w:r>
    </w:p>
    <w:p w:rsidR="00360125" w:rsidRDefault="00360125" w:rsidP="00A32CA1">
      <w:pPr>
        <w:pStyle w:val="Opisslike"/>
        <w:spacing w:after="0"/>
        <w:rPr>
          <w:sz w:val="20"/>
          <w:szCs w:val="20"/>
        </w:rPr>
      </w:pPr>
    </w:p>
    <w:p w:rsidR="00360125" w:rsidRDefault="00360125" w:rsidP="00A32CA1">
      <w:pPr>
        <w:pStyle w:val="Opisslike"/>
        <w:spacing w:after="0"/>
        <w:rPr>
          <w:sz w:val="20"/>
          <w:szCs w:val="20"/>
        </w:rPr>
      </w:pPr>
    </w:p>
    <w:p w:rsidR="002E6F9D" w:rsidRDefault="002E6F9D" w:rsidP="006B7B79">
      <w:pPr>
        <w:pStyle w:val="Opisslike"/>
        <w:spacing w:after="0"/>
        <w:jc w:val="both"/>
        <w:rPr>
          <w:sz w:val="20"/>
          <w:szCs w:val="20"/>
        </w:rPr>
      </w:pPr>
    </w:p>
    <w:p w:rsidR="002E6F9D" w:rsidRDefault="002E6F9D" w:rsidP="006B7B79">
      <w:pPr>
        <w:pStyle w:val="Opisslike"/>
        <w:spacing w:after="0"/>
        <w:jc w:val="both"/>
        <w:rPr>
          <w:sz w:val="20"/>
          <w:szCs w:val="20"/>
        </w:rPr>
      </w:pPr>
    </w:p>
    <w:p w:rsidR="002E6F9D" w:rsidRDefault="002E6F9D" w:rsidP="006B7B79">
      <w:pPr>
        <w:pStyle w:val="Opisslike"/>
        <w:spacing w:after="0"/>
        <w:jc w:val="both"/>
        <w:rPr>
          <w:sz w:val="20"/>
          <w:szCs w:val="20"/>
        </w:rPr>
      </w:pPr>
    </w:p>
    <w:p w:rsidR="00E570C5" w:rsidRPr="005E5265" w:rsidRDefault="009835A2" w:rsidP="006B7B79">
      <w:pPr>
        <w:pStyle w:val="Opisslike"/>
        <w:spacing w:after="0"/>
        <w:jc w:val="both"/>
        <w:rPr>
          <w:rFonts w:ascii="Times New Roman" w:hAnsi="Times New Roman" w:cs="Times New Roman"/>
          <w:sz w:val="20"/>
          <w:szCs w:val="20"/>
        </w:rPr>
      </w:pPr>
      <w:bookmarkStart w:id="117" w:name="_Toc436402303"/>
      <w:r w:rsidRPr="006B7B79">
        <w:rPr>
          <w:rFonts w:ascii="Times New Roman" w:hAnsi="Times New Roman" w:cs="Times New Roman"/>
          <w:sz w:val="20"/>
          <w:szCs w:val="20"/>
        </w:rPr>
        <w:lastRenderedPageBreak/>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56</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0C7430" w:rsidRPr="006B7B79">
        <w:rPr>
          <w:rFonts w:ascii="Times New Roman" w:hAnsi="Times New Roman" w:cs="Times New Roman"/>
          <w:sz w:val="20"/>
          <w:szCs w:val="20"/>
        </w:rPr>
        <w:t xml:space="preserve"> Naknade za rad predstavničkih i izvršnih tijela, povjerenstava i slično</w:t>
      </w:r>
      <w:r w:rsidR="00A32CA1" w:rsidRPr="006B7B79">
        <w:rPr>
          <w:rFonts w:ascii="Times New Roman" w:hAnsi="Times New Roman" w:cs="Times New Roman"/>
          <w:sz w:val="20"/>
          <w:szCs w:val="20"/>
        </w:rPr>
        <w:t xml:space="preserve"> prema podacima iskazanim u državnom proračunu – izvršenje za 2014. (u mil.</w:t>
      </w:r>
      <w:r w:rsidR="005E5265">
        <w:rPr>
          <w:rFonts w:ascii="Times New Roman" w:hAnsi="Times New Roman" w:cs="Times New Roman"/>
          <w:sz w:val="20"/>
          <w:szCs w:val="20"/>
        </w:rPr>
        <w:t xml:space="preserve"> kuna</w:t>
      </w:r>
      <w:r w:rsidR="00A32CA1" w:rsidRPr="006B7B79">
        <w:rPr>
          <w:rFonts w:ascii="Times New Roman" w:hAnsi="Times New Roman" w:cs="Times New Roman"/>
          <w:sz w:val="20"/>
          <w:szCs w:val="20"/>
        </w:rPr>
        <w:t>)</w:t>
      </w:r>
      <w:bookmarkEnd w:id="117"/>
    </w:p>
    <w:tbl>
      <w:tblPr>
        <w:tblW w:w="7220" w:type="dxa"/>
        <w:jc w:val="center"/>
        <w:tblInd w:w="93" w:type="dxa"/>
        <w:tblLook w:val="04A0" w:firstRow="1" w:lastRow="0" w:firstColumn="1" w:lastColumn="0" w:noHBand="0" w:noVBand="1"/>
      </w:tblPr>
      <w:tblGrid>
        <w:gridCol w:w="1360"/>
        <w:gridCol w:w="1380"/>
        <w:gridCol w:w="1239"/>
        <w:gridCol w:w="1213"/>
        <w:gridCol w:w="1120"/>
        <w:gridCol w:w="1120"/>
      </w:tblGrid>
      <w:tr w:rsidR="008E16D0" w:rsidRPr="000C7430" w:rsidTr="006B7B79">
        <w:trPr>
          <w:trHeight w:val="1110"/>
          <w:jc w:val="center"/>
        </w:trPr>
        <w:tc>
          <w:tcPr>
            <w:tcW w:w="1360"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8E16D0" w:rsidRPr="000C7430" w:rsidRDefault="008E16D0" w:rsidP="006B7B79">
            <w:pPr>
              <w:spacing w:after="0" w:line="240" w:lineRule="auto"/>
              <w:jc w:val="center"/>
              <w:rPr>
                <w:rFonts w:ascii="Arial" w:eastAsia="Times New Roman" w:hAnsi="Arial" w:cs="Arial"/>
                <w:b/>
                <w:bCs/>
                <w:sz w:val="16"/>
                <w:szCs w:val="16"/>
                <w:lang w:eastAsia="hr-HR"/>
              </w:rPr>
            </w:pPr>
            <w:r w:rsidRPr="000C7430">
              <w:rPr>
                <w:rFonts w:ascii="Arial" w:eastAsia="Times New Roman" w:hAnsi="Arial" w:cs="Arial"/>
                <w:b/>
                <w:bCs/>
                <w:sz w:val="16"/>
                <w:szCs w:val="16"/>
                <w:lang w:eastAsia="hr-HR"/>
              </w:rPr>
              <w:t>Izvršenje 2014.</w:t>
            </w:r>
          </w:p>
        </w:tc>
        <w:tc>
          <w:tcPr>
            <w:tcW w:w="1380" w:type="dxa"/>
            <w:tcBorders>
              <w:top w:val="single" w:sz="4" w:space="0" w:color="000080"/>
              <w:left w:val="nil"/>
              <w:bottom w:val="single" w:sz="4" w:space="0" w:color="000080"/>
              <w:right w:val="single" w:sz="4" w:space="0" w:color="000080"/>
            </w:tcBorders>
            <w:shd w:val="clear" w:color="000000" w:fill="DCE6F1"/>
            <w:vAlign w:val="center"/>
            <w:hideMark/>
          </w:tcPr>
          <w:p w:rsidR="008E16D0" w:rsidRPr="000C7430" w:rsidRDefault="008E16D0" w:rsidP="006B7B79">
            <w:pPr>
              <w:spacing w:after="0" w:line="240" w:lineRule="auto"/>
              <w:jc w:val="center"/>
              <w:rPr>
                <w:rFonts w:ascii="Arial" w:eastAsia="Times New Roman" w:hAnsi="Arial" w:cs="Arial"/>
                <w:b/>
                <w:bCs/>
                <w:color w:val="000000"/>
                <w:sz w:val="16"/>
                <w:szCs w:val="16"/>
                <w:lang w:eastAsia="hr-HR"/>
              </w:rPr>
            </w:pPr>
            <w:r w:rsidRPr="000C7430">
              <w:rPr>
                <w:rFonts w:ascii="Arial" w:eastAsia="Times New Roman" w:hAnsi="Arial" w:cs="Arial"/>
                <w:b/>
                <w:bCs/>
                <w:color w:val="000000"/>
                <w:sz w:val="16"/>
                <w:szCs w:val="16"/>
                <w:lang w:eastAsia="hr-HR"/>
              </w:rPr>
              <w:t>Naknade za rad predstavničkih i izvršnih tijela, povjerenstava i slično</w:t>
            </w:r>
          </w:p>
        </w:tc>
        <w:tc>
          <w:tcPr>
            <w:tcW w:w="1120" w:type="dxa"/>
            <w:tcBorders>
              <w:top w:val="single" w:sz="4" w:space="0" w:color="000080"/>
              <w:left w:val="nil"/>
              <w:bottom w:val="single" w:sz="4" w:space="0" w:color="000080"/>
              <w:right w:val="single" w:sz="4" w:space="0" w:color="000080"/>
            </w:tcBorders>
            <w:shd w:val="clear" w:color="000000" w:fill="DCE6F1"/>
            <w:vAlign w:val="center"/>
            <w:hideMark/>
          </w:tcPr>
          <w:p w:rsidR="008E16D0" w:rsidRPr="000C7430" w:rsidRDefault="008E16D0" w:rsidP="006B7B79">
            <w:pPr>
              <w:spacing w:after="0" w:line="240" w:lineRule="auto"/>
              <w:jc w:val="center"/>
              <w:rPr>
                <w:rFonts w:ascii="Arial" w:eastAsia="Times New Roman" w:hAnsi="Arial" w:cs="Arial"/>
                <w:color w:val="000000"/>
                <w:sz w:val="16"/>
                <w:szCs w:val="16"/>
                <w:lang w:eastAsia="hr-HR"/>
              </w:rPr>
            </w:pPr>
            <w:r w:rsidRPr="000C7430">
              <w:rPr>
                <w:rFonts w:ascii="Arial" w:eastAsia="Times New Roman" w:hAnsi="Arial" w:cs="Arial"/>
                <w:color w:val="000000"/>
                <w:sz w:val="16"/>
                <w:szCs w:val="16"/>
                <w:lang w:eastAsia="hr-HR"/>
              </w:rPr>
              <w:t>Naknade članovima predstavničkih i izvršnih tijela</w:t>
            </w:r>
          </w:p>
        </w:tc>
        <w:tc>
          <w:tcPr>
            <w:tcW w:w="1120" w:type="dxa"/>
            <w:tcBorders>
              <w:top w:val="single" w:sz="4" w:space="0" w:color="000080"/>
              <w:left w:val="nil"/>
              <w:bottom w:val="single" w:sz="4" w:space="0" w:color="000080"/>
              <w:right w:val="single" w:sz="4" w:space="0" w:color="000080"/>
            </w:tcBorders>
            <w:shd w:val="clear" w:color="000000" w:fill="DCE6F1"/>
            <w:vAlign w:val="center"/>
            <w:hideMark/>
          </w:tcPr>
          <w:p w:rsidR="008E16D0" w:rsidRPr="000C7430" w:rsidRDefault="008E16D0" w:rsidP="006B7B79">
            <w:pPr>
              <w:spacing w:after="0" w:line="240" w:lineRule="auto"/>
              <w:jc w:val="center"/>
              <w:rPr>
                <w:rFonts w:ascii="Arial" w:eastAsia="Times New Roman" w:hAnsi="Arial" w:cs="Arial"/>
                <w:color w:val="000000"/>
                <w:sz w:val="16"/>
                <w:szCs w:val="16"/>
                <w:lang w:eastAsia="hr-HR"/>
              </w:rPr>
            </w:pPr>
            <w:r w:rsidRPr="000C7430">
              <w:rPr>
                <w:rFonts w:ascii="Arial" w:eastAsia="Times New Roman" w:hAnsi="Arial" w:cs="Arial"/>
                <w:color w:val="000000"/>
                <w:sz w:val="16"/>
                <w:szCs w:val="16"/>
                <w:lang w:eastAsia="hr-HR"/>
              </w:rPr>
              <w:t>Naknade članovima povjerenstava</w:t>
            </w:r>
          </w:p>
        </w:tc>
        <w:tc>
          <w:tcPr>
            <w:tcW w:w="1120" w:type="dxa"/>
            <w:tcBorders>
              <w:top w:val="single" w:sz="4" w:space="0" w:color="000080"/>
              <w:left w:val="nil"/>
              <w:bottom w:val="single" w:sz="4" w:space="0" w:color="000080"/>
              <w:right w:val="single" w:sz="4" w:space="0" w:color="000080"/>
            </w:tcBorders>
            <w:shd w:val="clear" w:color="000000" w:fill="DCE6F1"/>
            <w:vAlign w:val="center"/>
            <w:hideMark/>
          </w:tcPr>
          <w:p w:rsidR="008E16D0" w:rsidRPr="000C7430" w:rsidRDefault="008E16D0" w:rsidP="006B7B79">
            <w:pPr>
              <w:spacing w:after="0" w:line="240" w:lineRule="auto"/>
              <w:jc w:val="center"/>
              <w:rPr>
                <w:rFonts w:ascii="Arial" w:eastAsia="Times New Roman" w:hAnsi="Arial" w:cs="Arial"/>
                <w:color w:val="000000"/>
                <w:sz w:val="16"/>
                <w:szCs w:val="16"/>
                <w:lang w:eastAsia="hr-HR"/>
              </w:rPr>
            </w:pPr>
            <w:r w:rsidRPr="000C7430">
              <w:rPr>
                <w:rFonts w:ascii="Arial" w:eastAsia="Times New Roman" w:hAnsi="Arial" w:cs="Arial"/>
                <w:color w:val="000000"/>
                <w:sz w:val="16"/>
                <w:szCs w:val="16"/>
                <w:lang w:eastAsia="hr-HR"/>
              </w:rPr>
              <w:t>Naknade za rad osobama lišenih slobode</w:t>
            </w:r>
          </w:p>
        </w:tc>
        <w:tc>
          <w:tcPr>
            <w:tcW w:w="1120" w:type="dxa"/>
            <w:tcBorders>
              <w:top w:val="single" w:sz="4" w:space="0" w:color="000080"/>
              <w:left w:val="nil"/>
              <w:bottom w:val="single" w:sz="4" w:space="0" w:color="000080"/>
              <w:right w:val="single" w:sz="4" w:space="0" w:color="000080"/>
            </w:tcBorders>
            <w:shd w:val="clear" w:color="000000" w:fill="DCE6F1"/>
            <w:vAlign w:val="center"/>
            <w:hideMark/>
          </w:tcPr>
          <w:p w:rsidR="008E16D0" w:rsidRPr="000C7430" w:rsidRDefault="008E16D0" w:rsidP="006B7B79">
            <w:pPr>
              <w:spacing w:after="0" w:line="240" w:lineRule="auto"/>
              <w:jc w:val="center"/>
              <w:rPr>
                <w:rFonts w:ascii="Arial" w:eastAsia="Times New Roman" w:hAnsi="Arial" w:cs="Arial"/>
                <w:color w:val="000000"/>
                <w:sz w:val="16"/>
                <w:szCs w:val="16"/>
                <w:lang w:eastAsia="hr-HR"/>
              </w:rPr>
            </w:pPr>
            <w:r w:rsidRPr="000C7430">
              <w:rPr>
                <w:rFonts w:ascii="Arial" w:eastAsia="Times New Roman" w:hAnsi="Arial" w:cs="Arial"/>
                <w:color w:val="000000"/>
                <w:sz w:val="16"/>
                <w:szCs w:val="16"/>
                <w:lang w:eastAsia="hr-HR"/>
              </w:rPr>
              <w:t>Ostale slične naknade za rad</w:t>
            </w:r>
          </w:p>
        </w:tc>
      </w:tr>
      <w:tr w:rsidR="008E16D0" w:rsidRPr="000C7430" w:rsidTr="006B7B79">
        <w:trPr>
          <w:trHeight w:val="300"/>
          <w:jc w:val="center"/>
        </w:trPr>
        <w:tc>
          <w:tcPr>
            <w:tcW w:w="1360" w:type="dxa"/>
            <w:tcBorders>
              <w:top w:val="nil"/>
              <w:left w:val="single" w:sz="4" w:space="0" w:color="000080"/>
              <w:bottom w:val="single" w:sz="4" w:space="0" w:color="000080"/>
              <w:right w:val="single" w:sz="4" w:space="0" w:color="000080"/>
            </w:tcBorders>
            <w:shd w:val="clear" w:color="000000" w:fill="DCE6F1"/>
            <w:noWrap/>
            <w:vAlign w:val="center"/>
            <w:hideMark/>
          </w:tcPr>
          <w:p w:rsidR="008E16D0" w:rsidRPr="000C7430" w:rsidRDefault="008E16D0" w:rsidP="000C7430">
            <w:pPr>
              <w:spacing w:after="0" w:line="240" w:lineRule="auto"/>
              <w:ind w:firstLineChars="200" w:firstLine="320"/>
              <w:rPr>
                <w:rFonts w:ascii="Arial" w:eastAsia="Times New Roman" w:hAnsi="Arial" w:cs="Arial"/>
                <w:sz w:val="16"/>
                <w:szCs w:val="16"/>
                <w:lang w:eastAsia="hr-HR"/>
              </w:rPr>
            </w:pPr>
            <w:r w:rsidRPr="000C7430">
              <w:rPr>
                <w:rFonts w:ascii="Arial" w:eastAsia="Times New Roman" w:hAnsi="Arial" w:cs="Arial"/>
                <w:sz w:val="16"/>
                <w:szCs w:val="16"/>
                <w:lang w:eastAsia="hr-HR"/>
              </w:rPr>
              <w:t>- Ukupno</w:t>
            </w:r>
          </w:p>
        </w:tc>
        <w:tc>
          <w:tcPr>
            <w:tcW w:w="1380" w:type="dxa"/>
            <w:tcBorders>
              <w:top w:val="nil"/>
              <w:left w:val="nil"/>
              <w:bottom w:val="single" w:sz="4" w:space="0" w:color="000080"/>
              <w:right w:val="single" w:sz="4" w:space="0" w:color="000080"/>
            </w:tcBorders>
            <w:shd w:val="clear" w:color="000000" w:fill="DCE6F1"/>
            <w:noWrap/>
            <w:vAlign w:val="center"/>
            <w:hideMark/>
          </w:tcPr>
          <w:p w:rsidR="008E16D0" w:rsidRPr="000C7430" w:rsidRDefault="008E16D0" w:rsidP="008E16D0">
            <w:pPr>
              <w:spacing w:after="0" w:line="240" w:lineRule="auto"/>
              <w:jc w:val="right"/>
              <w:rPr>
                <w:rFonts w:ascii="Arial" w:eastAsia="Times New Roman" w:hAnsi="Arial" w:cs="Arial"/>
                <w:b/>
                <w:bCs/>
                <w:color w:val="000000"/>
                <w:sz w:val="16"/>
                <w:szCs w:val="16"/>
                <w:lang w:eastAsia="hr-HR"/>
              </w:rPr>
            </w:pPr>
            <w:r w:rsidRPr="000C7430">
              <w:rPr>
                <w:rFonts w:ascii="Arial" w:eastAsia="Times New Roman" w:hAnsi="Arial" w:cs="Arial"/>
                <w:b/>
                <w:bCs/>
                <w:color w:val="000000"/>
                <w:sz w:val="16"/>
                <w:szCs w:val="16"/>
                <w:lang w:eastAsia="hr-HR"/>
              </w:rPr>
              <w:t>101,308</w:t>
            </w:r>
          </w:p>
        </w:tc>
        <w:tc>
          <w:tcPr>
            <w:tcW w:w="1120" w:type="dxa"/>
            <w:tcBorders>
              <w:top w:val="nil"/>
              <w:left w:val="nil"/>
              <w:bottom w:val="single" w:sz="4" w:space="0" w:color="000080"/>
              <w:right w:val="single" w:sz="4" w:space="0" w:color="000080"/>
            </w:tcBorders>
            <w:shd w:val="clear" w:color="000000" w:fill="DCE6F1"/>
            <w:noWrap/>
            <w:vAlign w:val="center"/>
            <w:hideMark/>
          </w:tcPr>
          <w:p w:rsidR="008E16D0" w:rsidRPr="000C7430" w:rsidRDefault="008E16D0" w:rsidP="008E16D0">
            <w:pPr>
              <w:spacing w:after="0" w:line="240" w:lineRule="auto"/>
              <w:jc w:val="right"/>
              <w:rPr>
                <w:rFonts w:ascii="Arial" w:eastAsia="Times New Roman" w:hAnsi="Arial" w:cs="Arial"/>
                <w:bCs/>
                <w:color w:val="000000"/>
                <w:sz w:val="16"/>
                <w:szCs w:val="16"/>
                <w:lang w:eastAsia="hr-HR"/>
              </w:rPr>
            </w:pPr>
            <w:r w:rsidRPr="000C7430">
              <w:rPr>
                <w:rFonts w:ascii="Arial" w:eastAsia="Times New Roman" w:hAnsi="Arial" w:cs="Arial"/>
                <w:bCs/>
                <w:color w:val="000000"/>
                <w:sz w:val="16"/>
                <w:szCs w:val="16"/>
                <w:lang w:eastAsia="hr-HR"/>
              </w:rPr>
              <w:t>15,966</w:t>
            </w:r>
          </w:p>
        </w:tc>
        <w:tc>
          <w:tcPr>
            <w:tcW w:w="1120" w:type="dxa"/>
            <w:tcBorders>
              <w:top w:val="nil"/>
              <w:left w:val="nil"/>
              <w:bottom w:val="single" w:sz="4" w:space="0" w:color="000080"/>
              <w:right w:val="single" w:sz="4" w:space="0" w:color="000080"/>
            </w:tcBorders>
            <w:shd w:val="clear" w:color="000000" w:fill="DCE6F1"/>
            <w:noWrap/>
            <w:vAlign w:val="center"/>
            <w:hideMark/>
          </w:tcPr>
          <w:p w:rsidR="008E16D0" w:rsidRPr="000C7430" w:rsidRDefault="008E16D0" w:rsidP="008E16D0">
            <w:pPr>
              <w:spacing w:after="0" w:line="240" w:lineRule="auto"/>
              <w:jc w:val="right"/>
              <w:rPr>
                <w:rFonts w:ascii="Arial" w:eastAsia="Times New Roman" w:hAnsi="Arial" w:cs="Arial"/>
                <w:bCs/>
                <w:color w:val="000000"/>
                <w:sz w:val="16"/>
                <w:szCs w:val="16"/>
                <w:lang w:eastAsia="hr-HR"/>
              </w:rPr>
            </w:pPr>
            <w:r w:rsidRPr="000C7430">
              <w:rPr>
                <w:rFonts w:ascii="Arial" w:eastAsia="Times New Roman" w:hAnsi="Arial" w:cs="Arial"/>
                <w:bCs/>
                <w:color w:val="000000"/>
                <w:sz w:val="16"/>
                <w:szCs w:val="16"/>
                <w:lang w:eastAsia="hr-HR"/>
              </w:rPr>
              <w:t>74,835</w:t>
            </w:r>
          </w:p>
        </w:tc>
        <w:tc>
          <w:tcPr>
            <w:tcW w:w="1120" w:type="dxa"/>
            <w:tcBorders>
              <w:top w:val="nil"/>
              <w:left w:val="nil"/>
              <w:bottom w:val="single" w:sz="4" w:space="0" w:color="000080"/>
              <w:right w:val="single" w:sz="4" w:space="0" w:color="000080"/>
            </w:tcBorders>
            <w:shd w:val="clear" w:color="000000" w:fill="DCE6F1"/>
            <w:noWrap/>
            <w:vAlign w:val="center"/>
            <w:hideMark/>
          </w:tcPr>
          <w:p w:rsidR="008E16D0" w:rsidRPr="000C7430" w:rsidRDefault="008E16D0" w:rsidP="008E16D0">
            <w:pPr>
              <w:spacing w:after="0" w:line="240" w:lineRule="auto"/>
              <w:jc w:val="right"/>
              <w:rPr>
                <w:rFonts w:ascii="Arial" w:eastAsia="Times New Roman" w:hAnsi="Arial" w:cs="Arial"/>
                <w:bCs/>
                <w:color w:val="000000"/>
                <w:sz w:val="16"/>
                <w:szCs w:val="16"/>
                <w:lang w:eastAsia="hr-HR"/>
              </w:rPr>
            </w:pPr>
            <w:r w:rsidRPr="000C7430">
              <w:rPr>
                <w:rFonts w:ascii="Arial" w:eastAsia="Times New Roman" w:hAnsi="Arial" w:cs="Arial"/>
                <w:bCs/>
                <w:color w:val="000000"/>
                <w:sz w:val="16"/>
                <w:szCs w:val="16"/>
                <w:lang w:eastAsia="hr-HR"/>
              </w:rPr>
              <w:t>5,709</w:t>
            </w:r>
          </w:p>
        </w:tc>
        <w:tc>
          <w:tcPr>
            <w:tcW w:w="1120" w:type="dxa"/>
            <w:tcBorders>
              <w:top w:val="nil"/>
              <w:left w:val="nil"/>
              <w:bottom w:val="single" w:sz="4" w:space="0" w:color="000080"/>
              <w:right w:val="single" w:sz="4" w:space="0" w:color="000080"/>
            </w:tcBorders>
            <w:shd w:val="clear" w:color="000000" w:fill="DCE6F1"/>
            <w:noWrap/>
            <w:vAlign w:val="center"/>
            <w:hideMark/>
          </w:tcPr>
          <w:p w:rsidR="008E16D0" w:rsidRPr="000C7430" w:rsidRDefault="008E16D0" w:rsidP="008E16D0">
            <w:pPr>
              <w:spacing w:after="0" w:line="240" w:lineRule="auto"/>
              <w:jc w:val="right"/>
              <w:rPr>
                <w:rFonts w:ascii="Arial" w:eastAsia="Times New Roman" w:hAnsi="Arial" w:cs="Arial"/>
                <w:bCs/>
                <w:color w:val="000000"/>
                <w:sz w:val="16"/>
                <w:szCs w:val="16"/>
                <w:lang w:eastAsia="hr-HR"/>
              </w:rPr>
            </w:pPr>
            <w:r w:rsidRPr="000C7430">
              <w:rPr>
                <w:rFonts w:ascii="Arial" w:eastAsia="Times New Roman" w:hAnsi="Arial" w:cs="Arial"/>
                <w:bCs/>
                <w:color w:val="000000"/>
                <w:sz w:val="16"/>
                <w:szCs w:val="16"/>
                <w:lang w:eastAsia="hr-HR"/>
              </w:rPr>
              <w:t>4,798</w:t>
            </w:r>
          </w:p>
        </w:tc>
      </w:tr>
      <w:tr w:rsidR="008E16D0" w:rsidRPr="000C7430" w:rsidTr="006B7B79">
        <w:trPr>
          <w:trHeight w:val="300"/>
          <w:jc w:val="center"/>
        </w:trPr>
        <w:tc>
          <w:tcPr>
            <w:tcW w:w="1360" w:type="dxa"/>
            <w:tcBorders>
              <w:top w:val="nil"/>
              <w:left w:val="single" w:sz="4" w:space="0" w:color="000080"/>
              <w:bottom w:val="single" w:sz="4" w:space="0" w:color="000080"/>
              <w:right w:val="single" w:sz="4" w:space="0" w:color="000080"/>
            </w:tcBorders>
            <w:shd w:val="clear" w:color="auto" w:fill="auto"/>
            <w:noWrap/>
            <w:vAlign w:val="center"/>
            <w:hideMark/>
          </w:tcPr>
          <w:p w:rsidR="008E16D0" w:rsidRPr="000C7430" w:rsidRDefault="008E16D0" w:rsidP="000C7430">
            <w:pPr>
              <w:spacing w:after="0" w:line="240" w:lineRule="auto"/>
              <w:ind w:firstLineChars="200" w:firstLine="320"/>
              <w:rPr>
                <w:rFonts w:ascii="Arial" w:eastAsia="Times New Roman" w:hAnsi="Arial" w:cs="Arial"/>
                <w:sz w:val="16"/>
                <w:szCs w:val="16"/>
                <w:lang w:eastAsia="hr-HR"/>
              </w:rPr>
            </w:pPr>
            <w:r w:rsidRPr="000C7430">
              <w:rPr>
                <w:rFonts w:ascii="Arial" w:eastAsia="Times New Roman" w:hAnsi="Arial" w:cs="Arial"/>
                <w:sz w:val="16"/>
                <w:szCs w:val="16"/>
                <w:lang w:eastAsia="hr-HR"/>
              </w:rPr>
              <w:t>- 1+2+8</w:t>
            </w:r>
          </w:p>
        </w:tc>
        <w:tc>
          <w:tcPr>
            <w:tcW w:w="1380" w:type="dxa"/>
            <w:tcBorders>
              <w:top w:val="nil"/>
              <w:left w:val="nil"/>
              <w:bottom w:val="single" w:sz="4" w:space="0" w:color="000080"/>
              <w:right w:val="single" w:sz="4" w:space="0" w:color="000080"/>
            </w:tcBorders>
            <w:shd w:val="clear" w:color="auto" w:fill="auto"/>
            <w:noWrap/>
            <w:vAlign w:val="center"/>
            <w:hideMark/>
          </w:tcPr>
          <w:p w:rsidR="008E16D0" w:rsidRPr="000C7430" w:rsidRDefault="008E16D0" w:rsidP="008E16D0">
            <w:pPr>
              <w:spacing w:after="0" w:line="240" w:lineRule="auto"/>
              <w:jc w:val="right"/>
              <w:rPr>
                <w:rFonts w:ascii="Arial" w:eastAsia="Times New Roman" w:hAnsi="Arial" w:cs="Arial"/>
                <w:b/>
                <w:bCs/>
                <w:color w:val="000000"/>
                <w:sz w:val="16"/>
                <w:szCs w:val="16"/>
                <w:lang w:eastAsia="hr-HR"/>
              </w:rPr>
            </w:pPr>
            <w:r w:rsidRPr="000C7430">
              <w:rPr>
                <w:rFonts w:ascii="Arial" w:eastAsia="Times New Roman" w:hAnsi="Arial" w:cs="Arial"/>
                <w:b/>
                <w:bCs/>
                <w:color w:val="000000"/>
                <w:sz w:val="16"/>
                <w:szCs w:val="16"/>
                <w:lang w:eastAsia="hr-HR"/>
              </w:rPr>
              <w:t>92,839</w:t>
            </w:r>
          </w:p>
        </w:tc>
        <w:tc>
          <w:tcPr>
            <w:tcW w:w="1120" w:type="dxa"/>
            <w:tcBorders>
              <w:top w:val="nil"/>
              <w:left w:val="nil"/>
              <w:bottom w:val="single" w:sz="4" w:space="0" w:color="000080"/>
              <w:right w:val="single" w:sz="4" w:space="0" w:color="000080"/>
            </w:tcBorders>
            <w:shd w:val="clear" w:color="auto" w:fill="auto"/>
            <w:noWrap/>
            <w:vAlign w:val="center"/>
            <w:hideMark/>
          </w:tcPr>
          <w:p w:rsidR="008E16D0" w:rsidRPr="000C7430" w:rsidRDefault="008E16D0" w:rsidP="008E16D0">
            <w:pPr>
              <w:spacing w:after="0" w:line="240" w:lineRule="auto"/>
              <w:jc w:val="right"/>
              <w:rPr>
                <w:rFonts w:ascii="Arial" w:eastAsia="Times New Roman" w:hAnsi="Arial" w:cs="Arial"/>
                <w:bCs/>
                <w:color w:val="000000"/>
                <w:sz w:val="16"/>
                <w:szCs w:val="16"/>
                <w:lang w:eastAsia="hr-HR"/>
              </w:rPr>
            </w:pPr>
            <w:r w:rsidRPr="000C7430">
              <w:rPr>
                <w:rFonts w:ascii="Arial" w:eastAsia="Times New Roman" w:hAnsi="Arial" w:cs="Arial"/>
                <w:bCs/>
                <w:color w:val="000000"/>
                <w:sz w:val="16"/>
                <w:szCs w:val="16"/>
                <w:lang w:eastAsia="hr-HR"/>
              </w:rPr>
              <w:t>15,147</w:t>
            </w:r>
          </w:p>
        </w:tc>
        <w:tc>
          <w:tcPr>
            <w:tcW w:w="1120" w:type="dxa"/>
            <w:tcBorders>
              <w:top w:val="nil"/>
              <w:left w:val="nil"/>
              <w:bottom w:val="single" w:sz="4" w:space="0" w:color="000080"/>
              <w:right w:val="single" w:sz="4" w:space="0" w:color="000080"/>
            </w:tcBorders>
            <w:shd w:val="clear" w:color="auto" w:fill="auto"/>
            <w:noWrap/>
            <w:vAlign w:val="center"/>
            <w:hideMark/>
          </w:tcPr>
          <w:p w:rsidR="008E16D0" w:rsidRPr="000C7430" w:rsidRDefault="008E16D0" w:rsidP="008E16D0">
            <w:pPr>
              <w:spacing w:after="0" w:line="240" w:lineRule="auto"/>
              <w:jc w:val="right"/>
              <w:rPr>
                <w:rFonts w:ascii="Arial" w:eastAsia="Times New Roman" w:hAnsi="Arial" w:cs="Arial"/>
                <w:bCs/>
                <w:color w:val="000000"/>
                <w:sz w:val="16"/>
                <w:szCs w:val="16"/>
                <w:lang w:eastAsia="hr-HR"/>
              </w:rPr>
            </w:pPr>
            <w:r w:rsidRPr="000C7430">
              <w:rPr>
                <w:rFonts w:ascii="Arial" w:eastAsia="Times New Roman" w:hAnsi="Arial" w:cs="Arial"/>
                <w:bCs/>
                <w:color w:val="000000"/>
                <w:sz w:val="16"/>
                <w:szCs w:val="16"/>
                <w:lang w:eastAsia="hr-HR"/>
              </w:rPr>
              <w:t>70,761</w:t>
            </w:r>
          </w:p>
        </w:tc>
        <w:tc>
          <w:tcPr>
            <w:tcW w:w="1120" w:type="dxa"/>
            <w:tcBorders>
              <w:top w:val="nil"/>
              <w:left w:val="nil"/>
              <w:bottom w:val="single" w:sz="4" w:space="0" w:color="000080"/>
              <w:right w:val="single" w:sz="4" w:space="0" w:color="000080"/>
            </w:tcBorders>
            <w:shd w:val="clear" w:color="auto" w:fill="auto"/>
            <w:noWrap/>
            <w:vAlign w:val="center"/>
            <w:hideMark/>
          </w:tcPr>
          <w:p w:rsidR="008E16D0" w:rsidRPr="000C7430" w:rsidRDefault="008E16D0" w:rsidP="008E16D0">
            <w:pPr>
              <w:spacing w:after="0" w:line="240" w:lineRule="auto"/>
              <w:jc w:val="right"/>
              <w:rPr>
                <w:rFonts w:ascii="Arial" w:eastAsia="Times New Roman" w:hAnsi="Arial" w:cs="Arial"/>
                <w:bCs/>
                <w:color w:val="000000"/>
                <w:sz w:val="16"/>
                <w:szCs w:val="16"/>
                <w:lang w:eastAsia="hr-HR"/>
              </w:rPr>
            </w:pPr>
            <w:r w:rsidRPr="000C7430">
              <w:rPr>
                <w:rFonts w:ascii="Arial" w:eastAsia="Times New Roman" w:hAnsi="Arial" w:cs="Arial"/>
                <w:bCs/>
                <w:color w:val="000000"/>
                <w:sz w:val="16"/>
                <w:szCs w:val="16"/>
                <w:lang w:eastAsia="hr-HR"/>
              </w:rPr>
              <w:t>5,709</w:t>
            </w:r>
          </w:p>
        </w:tc>
        <w:tc>
          <w:tcPr>
            <w:tcW w:w="1120" w:type="dxa"/>
            <w:tcBorders>
              <w:top w:val="nil"/>
              <w:left w:val="nil"/>
              <w:bottom w:val="single" w:sz="4" w:space="0" w:color="000080"/>
              <w:right w:val="single" w:sz="4" w:space="0" w:color="000080"/>
            </w:tcBorders>
            <w:shd w:val="clear" w:color="auto" w:fill="auto"/>
            <w:noWrap/>
            <w:vAlign w:val="center"/>
            <w:hideMark/>
          </w:tcPr>
          <w:p w:rsidR="008E16D0" w:rsidRPr="000C7430" w:rsidRDefault="008E16D0" w:rsidP="008E16D0">
            <w:pPr>
              <w:spacing w:after="0" w:line="240" w:lineRule="auto"/>
              <w:jc w:val="right"/>
              <w:rPr>
                <w:rFonts w:ascii="Arial" w:eastAsia="Times New Roman" w:hAnsi="Arial" w:cs="Arial"/>
                <w:bCs/>
                <w:color w:val="000000"/>
                <w:sz w:val="16"/>
                <w:szCs w:val="16"/>
                <w:lang w:eastAsia="hr-HR"/>
              </w:rPr>
            </w:pPr>
            <w:r w:rsidRPr="000C7430">
              <w:rPr>
                <w:rFonts w:ascii="Arial" w:eastAsia="Times New Roman" w:hAnsi="Arial" w:cs="Arial"/>
                <w:bCs/>
                <w:color w:val="000000"/>
                <w:sz w:val="16"/>
                <w:szCs w:val="16"/>
                <w:lang w:eastAsia="hr-HR"/>
              </w:rPr>
              <w:t>1,222</w:t>
            </w:r>
          </w:p>
        </w:tc>
      </w:tr>
      <w:tr w:rsidR="008E16D0" w:rsidRPr="000C7430" w:rsidTr="006B7B79">
        <w:trPr>
          <w:trHeight w:val="300"/>
          <w:jc w:val="center"/>
        </w:trPr>
        <w:tc>
          <w:tcPr>
            <w:tcW w:w="1360" w:type="dxa"/>
            <w:tcBorders>
              <w:top w:val="nil"/>
              <w:left w:val="single" w:sz="4" w:space="0" w:color="000080"/>
              <w:bottom w:val="single" w:sz="4" w:space="0" w:color="000080"/>
              <w:right w:val="single" w:sz="4" w:space="0" w:color="000080"/>
            </w:tcBorders>
            <w:shd w:val="clear" w:color="auto" w:fill="auto"/>
            <w:noWrap/>
            <w:vAlign w:val="center"/>
            <w:hideMark/>
          </w:tcPr>
          <w:p w:rsidR="008E16D0" w:rsidRPr="000C7430" w:rsidRDefault="008E16D0" w:rsidP="000C7430">
            <w:pPr>
              <w:spacing w:after="0" w:line="240" w:lineRule="auto"/>
              <w:ind w:firstLineChars="200" w:firstLine="320"/>
              <w:rPr>
                <w:rFonts w:ascii="Arial" w:eastAsia="Times New Roman" w:hAnsi="Arial" w:cs="Arial"/>
                <w:sz w:val="16"/>
                <w:szCs w:val="16"/>
                <w:lang w:eastAsia="hr-HR"/>
              </w:rPr>
            </w:pPr>
            <w:r w:rsidRPr="000C7430">
              <w:rPr>
                <w:rFonts w:ascii="Arial" w:eastAsia="Times New Roman" w:hAnsi="Arial" w:cs="Arial"/>
                <w:sz w:val="16"/>
                <w:szCs w:val="16"/>
                <w:lang w:eastAsia="hr-HR"/>
              </w:rPr>
              <w:t>- ostali izvori</w:t>
            </w:r>
          </w:p>
        </w:tc>
        <w:tc>
          <w:tcPr>
            <w:tcW w:w="1380" w:type="dxa"/>
            <w:tcBorders>
              <w:top w:val="nil"/>
              <w:left w:val="nil"/>
              <w:bottom w:val="single" w:sz="4" w:space="0" w:color="000080"/>
              <w:right w:val="single" w:sz="4" w:space="0" w:color="000080"/>
            </w:tcBorders>
            <w:shd w:val="clear" w:color="auto" w:fill="auto"/>
            <w:noWrap/>
            <w:vAlign w:val="center"/>
            <w:hideMark/>
          </w:tcPr>
          <w:p w:rsidR="008E16D0" w:rsidRPr="000C7430" w:rsidRDefault="008E16D0" w:rsidP="008E16D0">
            <w:pPr>
              <w:spacing w:after="0" w:line="240" w:lineRule="auto"/>
              <w:jc w:val="right"/>
              <w:rPr>
                <w:rFonts w:ascii="Arial" w:eastAsia="Times New Roman" w:hAnsi="Arial" w:cs="Arial"/>
                <w:b/>
                <w:bCs/>
                <w:color w:val="000000"/>
                <w:sz w:val="16"/>
                <w:szCs w:val="16"/>
                <w:lang w:eastAsia="hr-HR"/>
              </w:rPr>
            </w:pPr>
            <w:r w:rsidRPr="000C7430">
              <w:rPr>
                <w:rFonts w:ascii="Arial" w:eastAsia="Times New Roman" w:hAnsi="Arial" w:cs="Arial"/>
                <w:b/>
                <w:bCs/>
                <w:color w:val="000000"/>
                <w:sz w:val="16"/>
                <w:szCs w:val="16"/>
                <w:lang w:eastAsia="hr-HR"/>
              </w:rPr>
              <w:t>8,469</w:t>
            </w:r>
          </w:p>
        </w:tc>
        <w:tc>
          <w:tcPr>
            <w:tcW w:w="1120" w:type="dxa"/>
            <w:tcBorders>
              <w:top w:val="nil"/>
              <w:left w:val="nil"/>
              <w:bottom w:val="single" w:sz="4" w:space="0" w:color="000080"/>
              <w:right w:val="single" w:sz="4" w:space="0" w:color="000080"/>
            </w:tcBorders>
            <w:shd w:val="clear" w:color="auto" w:fill="auto"/>
            <w:noWrap/>
            <w:vAlign w:val="center"/>
            <w:hideMark/>
          </w:tcPr>
          <w:p w:rsidR="008E16D0" w:rsidRPr="000C7430" w:rsidRDefault="00D626F1" w:rsidP="008E16D0">
            <w:pPr>
              <w:spacing w:after="0" w:line="240" w:lineRule="auto"/>
              <w:jc w:val="right"/>
              <w:rPr>
                <w:rFonts w:ascii="Arial" w:eastAsia="Times New Roman" w:hAnsi="Arial" w:cs="Arial"/>
                <w:bCs/>
                <w:color w:val="000000"/>
                <w:sz w:val="16"/>
                <w:szCs w:val="16"/>
                <w:lang w:eastAsia="hr-HR"/>
              </w:rPr>
            </w:pPr>
            <w:r>
              <w:rPr>
                <w:rFonts w:ascii="Arial" w:eastAsia="Times New Roman" w:hAnsi="Arial" w:cs="Arial"/>
                <w:bCs/>
                <w:color w:val="000000"/>
                <w:sz w:val="16"/>
                <w:szCs w:val="16"/>
                <w:lang w:eastAsia="hr-HR"/>
              </w:rPr>
              <w:t>0</w:t>
            </w:r>
            <w:r w:rsidR="008E16D0" w:rsidRPr="000C7430">
              <w:rPr>
                <w:rFonts w:ascii="Arial" w:eastAsia="Times New Roman" w:hAnsi="Arial" w:cs="Arial"/>
                <w:bCs/>
                <w:color w:val="000000"/>
                <w:sz w:val="16"/>
                <w:szCs w:val="16"/>
                <w:lang w:eastAsia="hr-HR"/>
              </w:rPr>
              <w:t>,819</w:t>
            </w:r>
          </w:p>
        </w:tc>
        <w:tc>
          <w:tcPr>
            <w:tcW w:w="1120" w:type="dxa"/>
            <w:tcBorders>
              <w:top w:val="nil"/>
              <w:left w:val="nil"/>
              <w:bottom w:val="single" w:sz="4" w:space="0" w:color="000080"/>
              <w:right w:val="single" w:sz="4" w:space="0" w:color="000080"/>
            </w:tcBorders>
            <w:shd w:val="clear" w:color="auto" w:fill="auto"/>
            <w:noWrap/>
            <w:vAlign w:val="center"/>
            <w:hideMark/>
          </w:tcPr>
          <w:p w:rsidR="008E16D0" w:rsidRPr="000C7430" w:rsidRDefault="008E16D0" w:rsidP="008E16D0">
            <w:pPr>
              <w:spacing w:after="0" w:line="240" w:lineRule="auto"/>
              <w:jc w:val="right"/>
              <w:rPr>
                <w:rFonts w:ascii="Arial" w:eastAsia="Times New Roman" w:hAnsi="Arial" w:cs="Arial"/>
                <w:bCs/>
                <w:color w:val="000000"/>
                <w:sz w:val="16"/>
                <w:szCs w:val="16"/>
                <w:lang w:eastAsia="hr-HR"/>
              </w:rPr>
            </w:pPr>
            <w:r w:rsidRPr="000C7430">
              <w:rPr>
                <w:rFonts w:ascii="Arial" w:eastAsia="Times New Roman" w:hAnsi="Arial" w:cs="Arial"/>
                <w:bCs/>
                <w:color w:val="000000"/>
                <w:sz w:val="16"/>
                <w:szCs w:val="16"/>
                <w:lang w:eastAsia="hr-HR"/>
              </w:rPr>
              <w:t>4,074</w:t>
            </w:r>
          </w:p>
        </w:tc>
        <w:tc>
          <w:tcPr>
            <w:tcW w:w="1120" w:type="dxa"/>
            <w:tcBorders>
              <w:top w:val="nil"/>
              <w:left w:val="nil"/>
              <w:bottom w:val="single" w:sz="4" w:space="0" w:color="000080"/>
              <w:right w:val="single" w:sz="4" w:space="0" w:color="000080"/>
            </w:tcBorders>
            <w:shd w:val="clear" w:color="auto" w:fill="auto"/>
            <w:noWrap/>
            <w:vAlign w:val="center"/>
            <w:hideMark/>
          </w:tcPr>
          <w:p w:rsidR="008E16D0" w:rsidRPr="000C7430" w:rsidRDefault="008E16D0" w:rsidP="008E16D0">
            <w:pPr>
              <w:spacing w:after="0" w:line="240" w:lineRule="auto"/>
              <w:jc w:val="right"/>
              <w:rPr>
                <w:rFonts w:ascii="Arial" w:eastAsia="Times New Roman" w:hAnsi="Arial" w:cs="Arial"/>
                <w:bCs/>
                <w:color w:val="000000"/>
                <w:sz w:val="16"/>
                <w:szCs w:val="16"/>
                <w:lang w:eastAsia="hr-HR"/>
              </w:rPr>
            </w:pPr>
            <w:r w:rsidRPr="000C7430">
              <w:rPr>
                <w:rFonts w:ascii="Arial" w:eastAsia="Times New Roman" w:hAnsi="Arial" w:cs="Arial"/>
                <w:bCs/>
                <w:color w:val="000000"/>
                <w:sz w:val="16"/>
                <w:szCs w:val="16"/>
                <w:lang w:eastAsia="hr-HR"/>
              </w:rPr>
              <w:t>,</w:t>
            </w:r>
          </w:p>
        </w:tc>
        <w:tc>
          <w:tcPr>
            <w:tcW w:w="1120" w:type="dxa"/>
            <w:tcBorders>
              <w:top w:val="nil"/>
              <w:left w:val="nil"/>
              <w:bottom w:val="single" w:sz="4" w:space="0" w:color="000080"/>
              <w:right w:val="single" w:sz="4" w:space="0" w:color="000080"/>
            </w:tcBorders>
            <w:shd w:val="clear" w:color="auto" w:fill="auto"/>
            <w:noWrap/>
            <w:vAlign w:val="center"/>
            <w:hideMark/>
          </w:tcPr>
          <w:p w:rsidR="008E16D0" w:rsidRPr="000C7430" w:rsidRDefault="008E16D0" w:rsidP="008E16D0">
            <w:pPr>
              <w:spacing w:after="0" w:line="240" w:lineRule="auto"/>
              <w:jc w:val="right"/>
              <w:rPr>
                <w:rFonts w:ascii="Arial" w:eastAsia="Times New Roman" w:hAnsi="Arial" w:cs="Arial"/>
                <w:bCs/>
                <w:color w:val="000000"/>
                <w:sz w:val="16"/>
                <w:szCs w:val="16"/>
                <w:lang w:eastAsia="hr-HR"/>
              </w:rPr>
            </w:pPr>
            <w:r w:rsidRPr="000C7430">
              <w:rPr>
                <w:rFonts w:ascii="Arial" w:eastAsia="Times New Roman" w:hAnsi="Arial" w:cs="Arial"/>
                <w:bCs/>
                <w:color w:val="000000"/>
                <w:sz w:val="16"/>
                <w:szCs w:val="16"/>
                <w:lang w:eastAsia="hr-HR"/>
              </w:rPr>
              <w:t>3,576</w:t>
            </w:r>
          </w:p>
        </w:tc>
      </w:tr>
    </w:tbl>
    <w:p w:rsidR="00E570C5" w:rsidRPr="00FA7F54" w:rsidRDefault="00E570C5" w:rsidP="003561BA">
      <w:pPr>
        <w:shd w:val="clear" w:color="auto" w:fill="FFFFFF"/>
        <w:spacing w:after="0" w:line="240" w:lineRule="auto"/>
        <w:ind w:firstLine="360"/>
        <w:jc w:val="both"/>
        <w:rPr>
          <w:rFonts w:ascii="Times New Roman" w:hAnsi="Times New Roman" w:cs="Times New Roman"/>
          <w:u w:val="single"/>
        </w:rPr>
      </w:pPr>
    </w:p>
    <w:p w:rsidR="003561BA" w:rsidRPr="00FA7F54" w:rsidRDefault="003561BA" w:rsidP="003561BA">
      <w:pPr>
        <w:shd w:val="clear" w:color="auto" w:fill="FFFFFF"/>
        <w:spacing w:after="0" w:line="240" w:lineRule="auto"/>
        <w:ind w:firstLine="360"/>
        <w:jc w:val="both"/>
        <w:rPr>
          <w:rFonts w:ascii="Times New Roman" w:hAnsi="Times New Roman" w:cs="Times New Roman"/>
          <w:u w:val="single"/>
        </w:rPr>
      </w:pPr>
      <w:r w:rsidRPr="00FA7F54">
        <w:rPr>
          <w:rFonts w:ascii="Times New Roman" w:hAnsi="Times New Roman" w:cs="Times New Roman"/>
          <w:u w:val="single"/>
        </w:rPr>
        <w:t>Mjere za smanjenje odnosno optimizaciju rashoda:</w:t>
      </w:r>
    </w:p>
    <w:p w:rsidR="003561BA" w:rsidRPr="00FA7F54" w:rsidRDefault="003561BA" w:rsidP="00922D60">
      <w:pPr>
        <w:pStyle w:val="Odlomakpopisa"/>
        <w:numPr>
          <w:ilvl w:val="0"/>
          <w:numId w:val="14"/>
        </w:numPr>
        <w:spacing w:after="0" w:line="240" w:lineRule="auto"/>
        <w:jc w:val="both"/>
        <w:rPr>
          <w:rFonts w:ascii="Times New Roman" w:hAnsi="Times New Roman" w:cs="Times New Roman"/>
        </w:rPr>
      </w:pPr>
      <w:r w:rsidRPr="00FA7F54">
        <w:rPr>
          <w:rFonts w:ascii="Times New Roman" w:hAnsi="Times New Roman" w:cs="Times New Roman"/>
        </w:rPr>
        <w:t>Na jedinstveni način urediti rad upravnih vijeća</w:t>
      </w:r>
      <w:r w:rsidR="00F33721">
        <w:rPr>
          <w:rFonts w:ascii="Times New Roman" w:hAnsi="Times New Roman" w:cs="Times New Roman"/>
        </w:rPr>
        <w:t xml:space="preserve"> i povjerenstava</w:t>
      </w:r>
      <w:r w:rsidRPr="00FA7F54">
        <w:rPr>
          <w:rFonts w:ascii="Times New Roman" w:hAnsi="Times New Roman" w:cs="Times New Roman"/>
        </w:rPr>
        <w:t xml:space="preserve"> (broj članova, iznos naknada i dr.)</w:t>
      </w:r>
      <w:r w:rsidR="00BF71CC">
        <w:rPr>
          <w:rFonts w:ascii="Times New Roman" w:hAnsi="Times New Roman" w:cs="Times New Roman"/>
        </w:rPr>
        <w:t xml:space="preserve"> </w:t>
      </w:r>
    </w:p>
    <w:p w:rsidR="003561BA" w:rsidRDefault="003561BA" w:rsidP="003561BA">
      <w:pPr>
        <w:spacing w:line="240" w:lineRule="auto"/>
        <w:jc w:val="both"/>
        <w:rPr>
          <w:rFonts w:ascii="Times New Roman" w:hAnsi="Times New Roman" w:cs="Times New Roman"/>
        </w:rPr>
      </w:pPr>
      <w:r w:rsidRPr="00FA7F54">
        <w:rPr>
          <w:rFonts w:ascii="Times New Roman" w:hAnsi="Times New Roman" w:cs="Times New Roman"/>
        </w:rPr>
        <w:t>Članovi upravnih vijeća različito su plaćeni za svoj rad. S obzirom da je svim institucijama vlasnik država, ove se naknade moraju ujednačiti. Potrebno je ograničiti broj osoba koje mogu biti u upravnom vijeću sukladno veličini pravne osobe, mjerene brojem zaposlenih, jer se sadašnja situacija kreće od nula do četrnaest u nekim pravnim osobama. Preporuka je mjesta u upravnim vijećima prepustiti stručnim kadrovima, koji bi bili ili iz redova javnih službenika ili iz redova stručnjaka biranih javnim natječajem. Preporučuje se donijeti jedinstven poslovnik o radu i odgovornosti članova upravnih vijeća. Za financijsku kontrolu poslovanja treba biti odgovorno resorno ministarstvo.</w:t>
      </w:r>
    </w:p>
    <w:p w:rsidR="00BF71CC" w:rsidRPr="00FA7F54" w:rsidRDefault="00BF71CC" w:rsidP="003561BA">
      <w:pPr>
        <w:spacing w:line="240" w:lineRule="auto"/>
        <w:jc w:val="both"/>
        <w:rPr>
          <w:rFonts w:ascii="Times New Roman" w:hAnsi="Times New Roman" w:cs="Times New Roman"/>
        </w:rPr>
      </w:pPr>
      <w:r>
        <w:rPr>
          <w:rFonts w:ascii="Times New Roman" w:hAnsi="Times New Roman" w:cs="Times New Roman"/>
        </w:rPr>
        <w:t>Smjernicama za uređenje sustava agencija, zavoda, fondova, centara i drugih pravnih osoba s javnim ovlastima, koje je Vlada donijela 23. travnja 2015.,</w:t>
      </w:r>
      <w:r w:rsidR="00FC3EAA">
        <w:rPr>
          <w:rFonts w:ascii="Times New Roman" w:hAnsi="Times New Roman" w:cs="Times New Roman"/>
        </w:rPr>
        <w:t xml:space="preserve"> utvrđuje se obveza da se na jedinstveni način uredi upravljanje agencijama odnosno drugih pravnih osoba s javnim ovlastima. </w:t>
      </w:r>
    </w:p>
    <w:p w:rsidR="00A279BA" w:rsidRPr="00FA7F54" w:rsidRDefault="00A279BA" w:rsidP="00A279BA">
      <w:pPr>
        <w:pStyle w:val="Naslov2"/>
        <w:rPr>
          <w:rFonts w:ascii="Times New Roman" w:hAnsi="Times New Roman" w:cs="Times New Roman"/>
          <w:color w:val="auto"/>
          <w:sz w:val="22"/>
          <w:szCs w:val="22"/>
        </w:rPr>
      </w:pPr>
      <w:bookmarkStart w:id="118" w:name="_Toc434411200"/>
      <w:bookmarkStart w:id="119" w:name="_Toc436402343"/>
      <w:r w:rsidRPr="00FA7F54">
        <w:rPr>
          <w:rFonts w:ascii="Times New Roman" w:hAnsi="Times New Roman" w:cs="Times New Roman"/>
          <w:color w:val="auto"/>
          <w:sz w:val="22"/>
          <w:szCs w:val="22"/>
        </w:rPr>
        <w:t>PREMIJE OSIGURANJA (3292)</w:t>
      </w:r>
      <w:bookmarkEnd w:id="118"/>
      <w:bookmarkEnd w:id="119"/>
    </w:p>
    <w:p w:rsidR="00A279BA" w:rsidRPr="00FA7F54" w:rsidRDefault="00A279BA" w:rsidP="00A279BA">
      <w:pPr>
        <w:spacing w:line="240" w:lineRule="auto"/>
        <w:jc w:val="both"/>
        <w:rPr>
          <w:rFonts w:ascii="Times New Roman" w:hAnsi="Times New Roman" w:cs="Times New Roman"/>
        </w:rPr>
      </w:pPr>
      <w:r w:rsidRPr="00FA7F54">
        <w:rPr>
          <w:rFonts w:ascii="Times New Roman" w:hAnsi="Times New Roman" w:cs="Times New Roman"/>
        </w:rPr>
        <w:t xml:space="preserve">Prema iskazanim podacima u financijskim izvještajima </w:t>
      </w:r>
      <w:r w:rsidR="00B22CC7" w:rsidRPr="00FA7F54">
        <w:rPr>
          <w:rFonts w:ascii="Times New Roman" w:hAnsi="Times New Roman" w:cs="Times New Roman"/>
        </w:rPr>
        <w:t>premije osiguranja u 2013. godini iznosile</w:t>
      </w:r>
      <w:r w:rsidRPr="00FA7F54">
        <w:rPr>
          <w:rFonts w:ascii="Times New Roman" w:hAnsi="Times New Roman" w:cs="Times New Roman"/>
        </w:rPr>
        <w:t xml:space="preserve"> su </w:t>
      </w:r>
      <w:r w:rsidR="00B22CC7" w:rsidRPr="00FA7F54">
        <w:rPr>
          <w:rFonts w:ascii="Times New Roman" w:hAnsi="Times New Roman" w:cs="Times New Roman"/>
        </w:rPr>
        <w:t>67,5</w:t>
      </w:r>
      <w:r w:rsidRPr="00FA7F54">
        <w:rPr>
          <w:rFonts w:ascii="Times New Roman" w:hAnsi="Times New Roman" w:cs="Times New Roman"/>
        </w:rPr>
        <w:t xml:space="preserve"> mil. kuna, a u 2014. godini </w:t>
      </w:r>
      <w:r w:rsidR="00B22CC7" w:rsidRPr="00FA7F54">
        <w:rPr>
          <w:rFonts w:ascii="Times New Roman" w:hAnsi="Times New Roman" w:cs="Times New Roman"/>
        </w:rPr>
        <w:t>62,2</w:t>
      </w:r>
      <w:r w:rsidRPr="00FA7F54">
        <w:rPr>
          <w:rFonts w:ascii="Times New Roman" w:hAnsi="Times New Roman" w:cs="Times New Roman"/>
        </w:rPr>
        <w:t xml:space="preserve"> mil. kuna. U državnom proračunu za 2015. godinu planirano je </w:t>
      </w:r>
      <w:r w:rsidR="00B22CC7" w:rsidRPr="00FA7F54">
        <w:rPr>
          <w:rFonts w:ascii="Times New Roman" w:hAnsi="Times New Roman" w:cs="Times New Roman"/>
        </w:rPr>
        <w:t>50,9</w:t>
      </w:r>
      <w:r w:rsidRPr="00FA7F54">
        <w:rPr>
          <w:rFonts w:ascii="Times New Roman" w:hAnsi="Times New Roman" w:cs="Times New Roman"/>
        </w:rPr>
        <w:t xml:space="preserve"> mil. kuna navedenih rashoda od čega se </w:t>
      </w:r>
      <w:r w:rsidR="00B22CC7" w:rsidRPr="00FA7F54">
        <w:rPr>
          <w:rFonts w:ascii="Times New Roman" w:hAnsi="Times New Roman" w:cs="Times New Roman"/>
        </w:rPr>
        <w:t>44,</w:t>
      </w:r>
      <w:r w:rsidR="00B77479">
        <w:rPr>
          <w:rFonts w:ascii="Times New Roman" w:hAnsi="Times New Roman" w:cs="Times New Roman"/>
        </w:rPr>
        <w:t>4</w:t>
      </w:r>
      <w:r w:rsidR="00B77479" w:rsidRPr="00FA7F54">
        <w:rPr>
          <w:rFonts w:ascii="Times New Roman" w:hAnsi="Times New Roman" w:cs="Times New Roman"/>
        </w:rPr>
        <w:t xml:space="preserve"> </w:t>
      </w:r>
      <w:r w:rsidRPr="00FA7F54">
        <w:rPr>
          <w:rFonts w:ascii="Times New Roman" w:hAnsi="Times New Roman" w:cs="Times New Roman"/>
        </w:rPr>
        <w:t xml:space="preserve">mil. </w:t>
      </w:r>
      <w:r w:rsidR="00B77479">
        <w:rPr>
          <w:rFonts w:ascii="Times New Roman" w:hAnsi="Times New Roman" w:cs="Times New Roman"/>
        </w:rPr>
        <w:t xml:space="preserve">kuna </w:t>
      </w:r>
      <w:r w:rsidRPr="00FA7F54">
        <w:rPr>
          <w:rFonts w:ascii="Times New Roman" w:hAnsi="Times New Roman" w:cs="Times New Roman"/>
        </w:rPr>
        <w:t>financira iz izvora u limitu.</w:t>
      </w:r>
    </w:p>
    <w:p w:rsidR="00A279BA" w:rsidRPr="00FA7F54" w:rsidRDefault="00A279BA" w:rsidP="009A3A61">
      <w:pPr>
        <w:spacing w:line="240" w:lineRule="auto"/>
        <w:jc w:val="both"/>
        <w:rPr>
          <w:rFonts w:ascii="Times New Roman" w:hAnsi="Times New Roman" w:cs="Times New Roman"/>
        </w:rPr>
      </w:pPr>
      <w:r w:rsidRPr="00FA7F54">
        <w:rPr>
          <w:rFonts w:ascii="Times New Roman" w:hAnsi="Times New Roman" w:cs="Times New Roman"/>
        </w:rPr>
        <w:t>Najveći dio rashoda odnosi se na tijela izvršne vlasti</w:t>
      </w:r>
      <w:r w:rsidR="00FF121A" w:rsidRPr="00FA7F54">
        <w:rPr>
          <w:rFonts w:ascii="Times New Roman" w:hAnsi="Times New Roman" w:cs="Times New Roman"/>
        </w:rPr>
        <w:t xml:space="preserve"> (MUP i MORH), agencije (HANDA)</w:t>
      </w:r>
      <w:r w:rsidR="00136781" w:rsidRPr="00FA7F54">
        <w:rPr>
          <w:rFonts w:ascii="Times New Roman" w:hAnsi="Times New Roman" w:cs="Times New Roman"/>
        </w:rPr>
        <w:t>, zdravstvene ustanove</w:t>
      </w:r>
      <w:r w:rsidR="00FF121A" w:rsidRPr="00FA7F54">
        <w:rPr>
          <w:rFonts w:ascii="Times New Roman" w:hAnsi="Times New Roman" w:cs="Times New Roman"/>
        </w:rPr>
        <w:t xml:space="preserve"> te ostala državna tijela (Ravnateljstvo za robne zalihe)</w:t>
      </w:r>
      <w:r w:rsidRPr="00FA7F54">
        <w:rPr>
          <w:rFonts w:ascii="Times New Roman" w:hAnsi="Times New Roman" w:cs="Times New Roman"/>
        </w:rPr>
        <w:t>.</w:t>
      </w:r>
    </w:p>
    <w:p w:rsidR="009835A2" w:rsidRPr="00B77479" w:rsidRDefault="009835A2" w:rsidP="006B7B79">
      <w:pPr>
        <w:pStyle w:val="Opisslike"/>
        <w:spacing w:after="0"/>
        <w:jc w:val="both"/>
        <w:rPr>
          <w:rFonts w:ascii="Times New Roman" w:hAnsi="Times New Roman" w:cs="Times New Roman"/>
          <w:sz w:val="20"/>
          <w:szCs w:val="20"/>
        </w:rPr>
      </w:pPr>
      <w:bookmarkStart w:id="120" w:name="_Toc436402304"/>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57</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9A3A61" w:rsidRPr="006B7B79">
        <w:rPr>
          <w:rFonts w:ascii="Times New Roman" w:hAnsi="Times New Roman" w:cs="Times New Roman"/>
          <w:sz w:val="20"/>
          <w:szCs w:val="20"/>
        </w:rPr>
        <w:t xml:space="preserve"> Premije osiguranja prema podacima iskazanim u financijskim izvještajima proračunskih i izvanproračunskih korisnika za 2013. i 2014. godinu te planu Državnog proračuna za 2015. godinu</w:t>
      </w:r>
      <w:bookmarkEnd w:id="120"/>
    </w:p>
    <w:p w:rsidR="00342FF9" w:rsidRPr="00FA7F54" w:rsidRDefault="007C4AB0" w:rsidP="00C83540">
      <w:pPr>
        <w:spacing w:line="240" w:lineRule="auto"/>
        <w:rPr>
          <w:rFonts w:ascii="Times New Roman" w:hAnsi="Times New Roman" w:cs="Times New Roman"/>
        </w:rPr>
      </w:pPr>
      <w:r w:rsidRPr="007C4AB0">
        <w:rPr>
          <w:noProof/>
          <w:lang w:eastAsia="hr-HR"/>
        </w:rPr>
        <w:drawing>
          <wp:inline distT="0" distB="0" distL="0" distR="0" wp14:anchorId="734F45DB" wp14:editId="4337D619">
            <wp:extent cx="5457825" cy="3056382"/>
            <wp:effectExtent l="0" t="0" r="0" b="0"/>
            <wp:docPr id="62" name="Slik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56021" cy="3055372"/>
                    </a:xfrm>
                    <a:prstGeom prst="rect">
                      <a:avLst/>
                    </a:prstGeom>
                    <a:noFill/>
                    <a:ln>
                      <a:noFill/>
                    </a:ln>
                  </pic:spPr>
                </pic:pic>
              </a:graphicData>
            </a:graphic>
          </wp:inline>
        </w:drawing>
      </w:r>
    </w:p>
    <w:p w:rsidR="00342FF9" w:rsidRPr="00FA7F54" w:rsidRDefault="007A3377" w:rsidP="00C83540">
      <w:pPr>
        <w:spacing w:line="240" w:lineRule="auto"/>
        <w:rPr>
          <w:rFonts w:ascii="Times New Roman" w:hAnsi="Times New Roman" w:cs="Times New Roman"/>
        </w:rPr>
      </w:pPr>
      <w:r w:rsidRPr="00FA7F54">
        <w:rPr>
          <w:rFonts w:ascii="Times New Roman" w:hAnsi="Times New Roman" w:cs="Times New Roman"/>
        </w:rPr>
        <w:lastRenderedPageBreak/>
        <w:t>Navedeni rashodi uključuju premije osiguranja prijevoznih sredstava, ostale imovine i zaposlenih.</w:t>
      </w:r>
    </w:p>
    <w:p w:rsidR="009835A2" w:rsidRPr="00B77479" w:rsidRDefault="009835A2" w:rsidP="006B7B79">
      <w:pPr>
        <w:pStyle w:val="Opisslike"/>
        <w:spacing w:after="0"/>
        <w:jc w:val="both"/>
        <w:rPr>
          <w:rFonts w:ascii="Times New Roman" w:hAnsi="Times New Roman" w:cs="Times New Roman"/>
          <w:sz w:val="20"/>
          <w:szCs w:val="20"/>
        </w:rPr>
      </w:pPr>
      <w:bookmarkStart w:id="121" w:name="_Toc436402305"/>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58</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AB62F9" w:rsidRPr="006B7B79">
        <w:rPr>
          <w:rFonts w:ascii="Times New Roman" w:hAnsi="Times New Roman" w:cs="Times New Roman"/>
          <w:sz w:val="20"/>
          <w:szCs w:val="20"/>
        </w:rPr>
        <w:t xml:space="preserve"> Premije osiguranja prema podacima iskazanim u državnom proračunu – izvršenje za 2014. (u mil.</w:t>
      </w:r>
      <w:r w:rsidR="00B77479">
        <w:rPr>
          <w:rFonts w:ascii="Times New Roman" w:hAnsi="Times New Roman" w:cs="Times New Roman"/>
          <w:sz w:val="20"/>
          <w:szCs w:val="20"/>
        </w:rPr>
        <w:t xml:space="preserve"> kuna</w:t>
      </w:r>
      <w:r w:rsidR="00AB62F9" w:rsidRPr="006B7B79">
        <w:rPr>
          <w:rFonts w:ascii="Times New Roman" w:hAnsi="Times New Roman" w:cs="Times New Roman"/>
          <w:sz w:val="20"/>
          <w:szCs w:val="20"/>
        </w:rPr>
        <w:t>)</w:t>
      </w:r>
      <w:bookmarkEnd w:id="121"/>
    </w:p>
    <w:tbl>
      <w:tblPr>
        <w:tblW w:w="6740" w:type="dxa"/>
        <w:jc w:val="center"/>
        <w:tblInd w:w="93" w:type="dxa"/>
        <w:tblLook w:val="04A0" w:firstRow="1" w:lastRow="0" w:firstColumn="1" w:lastColumn="0" w:noHBand="0" w:noVBand="1"/>
      </w:tblPr>
      <w:tblGrid>
        <w:gridCol w:w="1360"/>
        <w:gridCol w:w="1120"/>
        <w:gridCol w:w="1420"/>
        <w:gridCol w:w="1420"/>
        <w:gridCol w:w="1420"/>
      </w:tblGrid>
      <w:tr w:rsidR="008063BC" w:rsidRPr="00AB62F9" w:rsidTr="00B77479">
        <w:trPr>
          <w:trHeight w:val="689"/>
          <w:jc w:val="center"/>
        </w:trPr>
        <w:tc>
          <w:tcPr>
            <w:tcW w:w="1360"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8063BC" w:rsidRPr="00AB62F9" w:rsidRDefault="008063BC" w:rsidP="00B77479">
            <w:pPr>
              <w:spacing w:after="0" w:line="240" w:lineRule="auto"/>
              <w:jc w:val="center"/>
              <w:rPr>
                <w:rFonts w:ascii="Arial" w:eastAsia="Times New Roman" w:hAnsi="Arial" w:cs="Arial"/>
                <w:b/>
                <w:bCs/>
                <w:sz w:val="16"/>
                <w:szCs w:val="16"/>
                <w:lang w:eastAsia="hr-HR"/>
              </w:rPr>
            </w:pPr>
            <w:r w:rsidRPr="00AB62F9">
              <w:rPr>
                <w:rFonts w:ascii="Arial" w:eastAsia="Times New Roman" w:hAnsi="Arial" w:cs="Arial"/>
                <w:b/>
                <w:bCs/>
                <w:sz w:val="16"/>
                <w:szCs w:val="16"/>
                <w:lang w:eastAsia="hr-HR"/>
              </w:rPr>
              <w:t>Izvršenje 2014.</w:t>
            </w:r>
          </w:p>
        </w:tc>
        <w:tc>
          <w:tcPr>
            <w:tcW w:w="1120" w:type="dxa"/>
            <w:tcBorders>
              <w:top w:val="single" w:sz="4" w:space="0" w:color="000080"/>
              <w:left w:val="nil"/>
              <w:bottom w:val="single" w:sz="4" w:space="0" w:color="000080"/>
              <w:right w:val="single" w:sz="4" w:space="0" w:color="000080"/>
            </w:tcBorders>
            <w:shd w:val="clear" w:color="000000" w:fill="DCE6F1"/>
            <w:vAlign w:val="center"/>
            <w:hideMark/>
          </w:tcPr>
          <w:p w:rsidR="008063BC" w:rsidRPr="00AB62F9" w:rsidRDefault="008063BC" w:rsidP="00B77479">
            <w:pPr>
              <w:spacing w:after="0" w:line="240" w:lineRule="auto"/>
              <w:jc w:val="center"/>
              <w:rPr>
                <w:rFonts w:ascii="Arial" w:eastAsia="Times New Roman" w:hAnsi="Arial" w:cs="Arial"/>
                <w:b/>
                <w:color w:val="000000"/>
                <w:sz w:val="16"/>
                <w:szCs w:val="16"/>
                <w:lang w:eastAsia="hr-HR"/>
              </w:rPr>
            </w:pPr>
            <w:r w:rsidRPr="00AB62F9">
              <w:rPr>
                <w:rFonts w:ascii="Arial" w:eastAsia="Times New Roman" w:hAnsi="Arial" w:cs="Arial"/>
                <w:b/>
                <w:color w:val="000000"/>
                <w:sz w:val="16"/>
                <w:szCs w:val="16"/>
                <w:lang w:eastAsia="hr-HR"/>
              </w:rPr>
              <w:t>Premije osiguranja</w:t>
            </w:r>
          </w:p>
        </w:tc>
        <w:tc>
          <w:tcPr>
            <w:tcW w:w="1420" w:type="dxa"/>
            <w:tcBorders>
              <w:top w:val="single" w:sz="4" w:space="0" w:color="000080"/>
              <w:left w:val="nil"/>
              <w:bottom w:val="single" w:sz="4" w:space="0" w:color="000080"/>
              <w:right w:val="single" w:sz="4" w:space="0" w:color="000080"/>
            </w:tcBorders>
            <w:shd w:val="clear" w:color="000000" w:fill="DCE6F1"/>
            <w:vAlign w:val="center"/>
            <w:hideMark/>
          </w:tcPr>
          <w:p w:rsidR="008063BC" w:rsidRPr="00AB62F9" w:rsidRDefault="008063BC" w:rsidP="00B77479">
            <w:pPr>
              <w:spacing w:after="0" w:line="240" w:lineRule="auto"/>
              <w:jc w:val="center"/>
              <w:rPr>
                <w:rFonts w:ascii="Arial" w:eastAsia="Times New Roman" w:hAnsi="Arial" w:cs="Arial"/>
                <w:color w:val="000000"/>
                <w:sz w:val="16"/>
                <w:szCs w:val="16"/>
                <w:lang w:eastAsia="hr-HR"/>
              </w:rPr>
            </w:pPr>
            <w:r w:rsidRPr="00AB62F9">
              <w:rPr>
                <w:rFonts w:ascii="Arial" w:eastAsia="Times New Roman" w:hAnsi="Arial" w:cs="Arial"/>
                <w:color w:val="000000"/>
                <w:sz w:val="16"/>
                <w:szCs w:val="16"/>
                <w:lang w:eastAsia="hr-HR"/>
              </w:rPr>
              <w:t>Premije osiguranja prijevoznih sredstava</w:t>
            </w:r>
          </w:p>
        </w:tc>
        <w:tc>
          <w:tcPr>
            <w:tcW w:w="1420" w:type="dxa"/>
            <w:tcBorders>
              <w:top w:val="single" w:sz="4" w:space="0" w:color="000080"/>
              <w:left w:val="nil"/>
              <w:bottom w:val="single" w:sz="4" w:space="0" w:color="000080"/>
              <w:right w:val="single" w:sz="4" w:space="0" w:color="000080"/>
            </w:tcBorders>
            <w:shd w:val="clear" w:color="000000" w:fill="DCE6F1"/>
            <w:vAlign w:val="center"/>
            <w:hideMark/>
          </w:tcPr>
          <w:p w:rsidR="008063BC" w:rsidRPr="00AB62F9" w:rsidRDefault="008063BC" w:rsidP="00B77479">
            <w:pPr>
              <w:spacing w:after="0" w:line="240" w:lineRule="auto"/>
              <w:jc w:val="center"/>
              <w:rPr>
                <w:rFonts w:ascii="Arial" w:eastAsia="Times New Roman" w:hAnsi="Arial" w:cs="Arial"/>
                <w:color w:val="000000"/>
                <w:sz w:val="16"/>
                <w:szCs w:val="16"/>
                <w:lang w:eastAsia="hr-HR"/>
              </w:rPr>
            </w:pPr>
            <w:r w:rsidRPr="00AB62F9">
              <w:rPr>
                <w:rFonts w:ascii="Arial" w:eastAsia="Times New Roman" w:hAnsi="Arial" w:cs="Arial"/>
                <w:color w:val="000000"/>
                <w:sz w:val="16"/>
                <w:szCs w:val="16"/>
                <w:lang w:eastAsia="hr-HR"/>
              </w:rPr>
              <w:t>Premije osiguranja ostale imovine</w:t>
            </w:r>
          </w:p>
        </w:tc>
        <w:tc>
          <w:tcPr>
            <w:tcW w:w="1420" w:type="dxa"/>
            <w:tcBorders>
              <w:top w:val="single" w:sz="4" w:space="0" w:color="000080"/>
              <w:left w:val="nil"/>
              <w:bottom w:val="single" w:sz="4" w:space="0" w:color="000080"/>
              <w:right w:val="single" w:sz="4" w:space="0" w:color="000080"/>
            </w:tcBorders>
            <w:shd w:val="clear" w:color="000000" w:fill="DCE6F1"/>
            <w:vAlign w:val="center"/>
            <w:hideMark/>
          </w:tcPr>
          <w:p w:rsidR="008063BC" w:rsidRPr="00AB62F9" w:rsidRDefault="008063BC" w:rsidP="00B77479">
            <w:pPr>
              <w:spacing w:after="0" w:line="240" w:lineRule="auto"/>
              <w:jc w:val="center"/>
              <w:rPr>
                <w:rFonts w:ascii="Arial" w:eastAsia="Times New Roman" w:hAnsi="Arial" w:cs="Arial"/>
                <w:color w:val="000000"/>
                <w:sz w:val="16"/>
                <w:szCs w:val="16"/>
                <w:lang w:eastAsia="hr-HR"/>
              </w:rPr>
            </w:pPr>
            <w:r w:rsidRPr="00AB62F9">
              <w:rPr>
                <w:rFonts w:ascii="Arial" w:eastAsia="Times New Roman" w:hAnsi="Arial" w:cs="Arial"/>
                <w:color w:val="000000"/>
                <w:sz w:val="16"/>
                <w:szCs w:val="16"/>
                <w:lang w:eastAsia="hr-HR"/>
              </w:rPr>
              <w:t>Premije osiguranja zaposlenih</w:t>
            </w:r>
          </w:p>
        </w:tc>
      </w:tr>
      <w:tr w:rsidR="008063BC" w:rsidRPr="00AB62F9" w:rsidTr="00B77479">
        <w:trPr>
          <w:trHeight w:val="300"/>
          <w:jc w:val="center"/>
        </w:trPr>
        <w:tc>
          <w:tcPr>
            <w:tcW w:w="1360" w:type="dxa"/>
            <w:tcBorders>
              <w:top w:val="nil"/>
              <w:left w:val="single" w:sz="4" w:space="0" w:color="000080"/>
              <w:bottom w:val="single" w:sz="4" w:space="0" w:color="000080"/>
              <w:right w:val="single" w:sz="4" w:space="0" w:color="000080"/>
            </w:tcBorders>
            <w:shd w:val="clear" w:color="000000" w:fill="DCE6F1"/>
            <w:noWrap/>
            <w:vAlign w:val="center"/>
            <w:hideMark/>
          </w:tcPr>
          <w:p w:rsidR="008063BC" w:rsidRPr="00AB62F9" w:rsidRDefault="008063BC" w:rsidP="00AB62F9">
            <w:pPr>
              <w:spacing w:after="0" w:line="240" w:lineRule="auto"/>
              <w:ind w:firstLineChars="200" w:firstLine="320"/>
              <w:rPr>
                <w:rFonts w:ascii="Arial" w:eastAsia="Times New Roman" w:hAnsi="Arial" w:cs="Arial"/>
                <w:sz w:val="16"/>
                <w:szCs w:val="16"/>
                <w:lang w:eastAsia="hr-HR"/>
              </w:rPr>
            </w:pPr>
            <w:r w:rsidRPr="00AB62F9">
              <w:rPr>
                <w:rFonts w:ascii="Arial" w:eastAsia="Times New Roman" w:hAnsi="Arial" w:cs="Arial"/>
                <w:sz w:val="16"/>
                <w:szCs w:val="16"/>
                <w:lang w:eastAsia="hr-HR"/>
              </w:rPr>
              <w:t>- Ukupno</w:t>
            </w:r>
          </w:p>
        </w:tc>
        <w:tc>
          <w:tcPr>
            <w:tcW w:w="1120" w:type="dxa"/>
            <w:tcBorders>
              <w:top w:val="nil"/>
              <w:left w:val="nil"/>
              <w:bottom w:val="single" w:sz="4" w:space="0" w:color="000080"/>
              <w:right w:val="single" w:sz="4" w:space="0" w:color="000080"/>
            </w:tcBorders>
            <w:shd w:val="clear" w:color="000000" w:fill="DCE6F1"/>
            <w:noWrap/>
            <w:vAlign w:val="center"/>
            <w:hideMark/>
          </w:tcPr>
          <w:p w:rsidR="008063BC" w:rsidRPr="00AB62F9" w:rsidRDefault="008063BC" w:rsidP="008063BC">
            <w:pPr>
              <w:spacing w:after="0" w:line="240" w:lineRule="auto"/>
              <w:jc w:val="right"/>
              <w:rPr>
                <w:rFonts w:ascii="Arial" w:eastAsia="Times New Roman" w:hAnsi="Arial" w:cs="Arial"/>
                <w:b/>
                <w:bCs/>
                <w:color w:val="000000"/>
                <w:sz w:val="16"/>
                <w:szCs w:val="16"/>
                <w:lang w:eastAsia="hr-HR"/>
              </w:rPr>
            </w:pPr>
            <w:r w:rsidRPr="00AB62F9">
              <w:rPr>
                <w:rFonts w:ascii="Arial" w:eastAsia="Times New Roman" w:hAnsi="Arial" w:cs="Arial"/>
                <w:b/>
                <w:bCs/>
                <w:color w:val="000000"/>
                <w:sz w:val="16"/>
                <w:szCs w:val="16"/>
                <w:lang w:eastAsia="hr-HR"/>
              </w:rPr>
              <w:t>55,964</w:t>
            </w:r>
          </w:p>
        </w:tc>
        <w:tc>
          <w:tcPr>
            <w:tcW w:w="1420" w:type="dxa"/>
            <w:tcBorders>
              <w:top w:val="nil"/>
              <w:left w:val="nil"/>
              <w:bottom w:val="single" w:sz="4" w:space="0" w:color="000080"/>
              <w:right w:val="single" w:sz="4" w:space="0" w:color="000080"/>
            </w:tcBorders>
            <w:shd w:val="clear" w:color="000000" w:fill="DCE6F1"/>
            <w:noWrap/>
            <w:vAlign w:val="center"/>
            <w:hideMark/>
          </w:tcPr>
          <w:p w:rsidR="008063BC" w:rsidRPr="00AB62F9" w:rsidRDefault="008063BC" w:rsidP="008063BC">
            <w:pPr>
              <w:spacing w:after="0" w:line="240" w:lineRule="auto"/>
              <w:jc w:val="right"/>
              <w:rPr>
                <w:rFonts w:ascii="Arial" w:eastAsia="Times New Roman" w:hAnsi="Arial" w:cs="Arial"/>
                <w:bCs/>
                <w:color w:val="000000"/>
                <w:sz w:val="16"/>
                <w:szCs w:val="16"/>
                <w:lang w:eastAsia="hr-HR"/>
              </w:rPr>
            </w:pPr>
            <w:r w:rsidRPr="00AB62F9">
              <w:rPr>
                <w:rFonts w:ascii="Arial" w:eastAsia="Times New Roman" w:hAnsi="Arial" w:cs="Arial"/>
                <w:bCs/>
                <w:color w:val="000000"/>
                <w:sz w:val="16"/>
                <w:szCs w:val="16"/>
                <w:lang w:eastAsia="hr-HR"/>
              </w:rPr>
              <w:t>22,658</w:t>
            </w:r>
          </w:p>
        </w:tc>
        <w:tc>
          <w:tcPr>
            <w:tcW w:w="1420" w:type="dxa"/>
            <w:tcBorders>
              <w:top w:val="nil"/>
              <w:left w:val="nil"/>
              <w:bottom w:val="single" w:sz="4" w:space="0" w:color="000080"/>
              <w:right w:val="single" w:sz="4" w:space="0" w:color="000080"/>
            </w:tcBorders>
            <w:shd w:val="clear" w:color="000000" w:fill="DCE6F1"/>
            <w:noWrap/>
            <w:vAlign w:val="center"/>
            <w:hideMark/>
          </w:tcPr>
          <w:p w:rsidR="008063BC" w:rsidRPr="00AB62F9" w:rsidRDefault="008063BC" w:rsidP="008063BC">
            <w:pPr>
              <w:spacing w:after="0" w:line="240" w:lineRule="auto"/>
              <w:jc w:val="right"/>
              <w:rPr>
                <w:rFonts w:ascii="Arial" w:eastAsia="Times New Roman" w:hAnsi="Arial" w:cs="Arial"/>
                <w:bCs/>
                <w:color w:val="000000"/>
                <w:sz w:val="16"/>
                <w:szCs w:val="16"/>
                <w:lang w:eastAsia="hr-HR"/>
              </w:rPr>
            </w:pPr>
            <w:r w:rsidRPr="00AB62F9">
              <w:rPr>
                <w:rFonts w:ascii="Arial" w:eastAsia="Times New Roman" w:hAnsi="Arial" w:cs="Arial"/>
                <w:bCs/>
                <w:color w:val="000000"/>
                <w:sz w:val="16"/>
                <w:szCs w:val="16"/>
                <w:lang w:eastAsia="hr-HR"/>
              </w:rPr>
              <w:t>6,003</w:t>
            </w:r>
          </w:p>
        </w:tc>
        <w:tc>
          <w:tcPr>
            <w:tcW w:w="1420" w:type="dxa"/>
            <w:tcBorders>
              <w:top w:val="nil"/>
              <w:left w:val="nil"/>
              <w:bottom w:val="single" w:sz="4" w:space="0" w:color="000080"/>
              <w:right w:val="single" w:sz="4" w:space="0" w:color="000080"/>
            </w:tcBorders>
            <w:shd w:val="clear" w:color="000000" w:fill="DCE6F1"/>
            <w:noWrap/>
            <w:vAlign w:val="center"/>
            <w:hideMark/>
          </w:tcPr>
          <w:p w:rsidR="008063BC" w:rsidRPr="00AB62F9" w:rsidRDefault="008063BC" w:rsidP="008063BC">
            <w:pPr>
              <w:spacing w:after="0" w:line="240" w:lineRule="auto"/>
              <w:jc w:val="right"/>
              <w:rPr>
                <w:rFonts w:ascii="Arial" w:eastAsia="Times New Roman" w:hAnsi="Arial" w:cs="Arial"/>
                <w:bCs/>
                <w:color w:val="000000"/>
                <w:sz w:val="16"/>
                <w:szCs w:val="16"/>
                <w:lang w:eastAsia="hr-HR"/>
              </w:rPr>
            </w:pPr>
            <w:r w:rsidRPr="00AB62F9">
              <w:rPr>
                <w:rFonts w:ascii="Arial" w:eastAsia="Times New Roman" w:hAnsi="Arial" w:cs="Arial"/>
                <w:bCs/>
                <w:color w:val="000000"/>
                <w:sz w:val="16"/>
                <w:szCs w:val="16"/>
                <w:lang w:eastAsia="hr-HR"/>
              </w:rPr>
              <w:t>27,303</w:t>
            </w:r>
          </w:p>
        </w:tc>
      </w:tr>
      <w:tr w:rsidR="008063BC" w:rsidRPr="00AB62F9" w:rsidTr="00B77479">
        <w:trPr>
          <w:trHeight w:val="300"/>
          <w:jc w:val="center"/>
        </w:trPr>
        <w:tc>
          <w:tcPr>
            <w:tcW w:w="1360" w:type="dxa"/>
            <w:tcBorders>
              <w:top w:val="nil"/>
              <w:left w:val="single" w:sz="4" w:space="0" w:color="000080"/>
              <w:bottom w:val="single" w:sz="4" w:space="0" w:color="000080"/>
              <w:right w:val="single" w:sz="4" w:space="0" w:color="000080"/>
            </w:tcBorders>
            <w:shd w:val="clear" w:color="auto" w:fill="auto"/>
            <w:noWrap/>
            <w:vAlign w:val="center"/>
            <w:hideMark/>
          </w:tcPr>
          <w:p w:rsidR="008063BC" w:rsidRPr="00AB62F9" w:rsidRDefault="008063BC" w:rsidP="00AB62F9">
            <w:pPr>
              <w:spacing w:after="0" w:line="240" w:lineRule="auto"/>
              <w:ind w:firstLineChars="200" w:firstLine="320"/>
              <w:rPr>
                <w:rFonts w:ascii="Arial" w:eastAsia="Times New Roman" w:hAnsi="Arial" w:cs="Arial"/>
                <w:sz w:val="16"/>
                <w:szCs w:val="16"/>
                <w:lang w:eastAsia="hr-HR"/>
              </w:rPr>
            </w:pPr>
            <w:r w:rsidRPr="00AB62F9">
              <w:rPr>
                <w:rFonts w:ascii="Arial" w:eastAsia="Times New Roman" w:hAnsi="Arial" w:cs="Arial"/>
                <w:sz w:val="16"/>
                <w:szCs w:val="16"/>
                <w:lang w:eastAsia="hr-HR"/>
              </w:rPr>
              <w:t>- 1+2+8</w:t>
            </w:r>
          </w:p>
        </w:tc>
        <w:tc>
          <w:tcPr>
            <w:tcW w:w="1120" w:type="dxa"/>
            <w:tcBorders>
              <w:top w:val="nil"/>
              <w:left w:val="nil"/>
              <w:bottom w:val="single" w:sz="4" w:space="0" w:color="000080"/>
              <w:right w:val="single" w:sz="4" w:space="0" w:color="000080"/>
            </w:tcBorders>
            <w:shd w:val="clear" w:color="auto" w:fill="auto"/>
            <w:noWrap/>
            <w:vAlign w:val="center"/>
            <w:hideMark/>
          </w:tcPr>
          <w:p w:rsidR="008063BC" w:rsidRPr="00AB62F9" w:rsidRDefault="008063BC" w:rsidP="008063BC">
            <w:pPr>
              <w:spacing w:after="0" w:line="240" w:lineRule="auto"/>
              <w:jc w:val="right"/>
              <w:rPr>
                <w:rFonts w:ascii="Arial" w:eastAsia="Times New Roman" w:hAnsi="Arial" w:cs="Arial"/>
                <w:b/>
                <w:bCs/>
                <w:color w:val="000000"/>
                <w:sz w:val="16"/>
                <w:szCs w:val="16"/>
                <w:lang w:eastAsia="hr-HR"/>
              </w:rPr>
            </w:pPr>
            <w:r w:rsidRPr="00AB62F9">
              <w:rPr>
                <w:rFonts w:ascii="Arial" w:eastAsia="Times New Roman" w:hAnsi="Arial" w:cs="Arial"/>
                <w:b/>
                <w:bCs/>
                <w:color w:val="000000"/>
                <w:sz w:val="16"/>
                <w:szCs w:val="16"/>
                <w:lang w:eastAsia="hr-HR"/>
              </w:rPr>
              <w:t>55,105</w:t>
            </w:r>
          </w:p>
        </w:tc>
        <w:tc>
          <w:tcPr>
            <w:tcW w:w="1420" w:type="dxa"/>
            <w:tcBorders>
              <w:top w:val="nil"/>
              <w:left w:val="nil"/>
              <w:bottom w:val="single" w:sz="4" w:space="0" w:color="000080"/>
              <w:right w:val="single" w:sz="4" w:space="0" w:color="000080"/>
            </w:tcBorders>
            <w:shd w:val="clear" w:color="auto" w:fill="auto"/>
            <w:noWrap/>
            <w:vAlign w:val="center"/>
            <w:hideMark/>
          </w:tcPr>
          <w:p w:rsidR="008063BC" w:rsidRPr="00AB62F9" w:rsidRDefault="008063BC" w:rsidP="008063BC">
            <w:pPr>
              <w:spacing w:after="0" w:line="240" w:lineRule="auto"/>
              <w:jc w:val="right"/>
              <w:rPr>
                <w:rFonts w:ascii="Arial" w:eastAsia="Times New Roman" w:hAnsi="Arial" w:cs="Arial"/>
                <w:bCs/>
                <w:color w:val="000000"/>
                <w:sz w:val="16"/>
                <w:szCs w:val="16"/>
                <w:lang w:eastAsia="hr-HR"/>
              </w:rPr>
            </w:pPr>
            <w:r w:rsidRPr="00AB62F9">
              <w:rPr>
                <w:rFonts w:ascii="Arial" w:eastAsia="Times New Roman" w:hAnsi="Arial" w:cs="Arial"/>
                <w:bCs/>
                <w:color w:val="000000"/>
                <w:sz w:val="16"/>
                <w:szCs w:val="16"/>
                <w:lang w:eastAsia="hr-HR"/>
              </w:rPr>
              <w:t>22,499</w:t>
            </w:r>
          </w:p>
        </w:tc>
        <w:tc>
          <w:tcPr>
            <w:tcW w:w="1420" w:type="dxa"/>
            <w:tcBorders>
              <w:top w:val="nil"/>
              <w:left w:val="nil"/>
              <w:bottom w:val="single" w:sz="4" w:space="0" w:color="000080"/>
              <w:right w:val="single" w:sz="4" w:space="0" w:color="000080"/>
            </w:tcBorders>
            <w:shd w:val="clear" w:color="auto" w:fill="auto"/>
            <w:noWrap/>
            <w:vAlign w:val="center"/>
            <w:hideMark/>
          </w:tcPr>
          <w:p w:rsidR="008063BC" w:rsidRPr="00AB62F9" w:rsidRDefault="008063BC" w:rsidP="008063BC">
            <w:pPr>
              <w:spacing w:after="0" w:line="240" w:lineRule="auto"/>
              <w:jc w:val="right"/>
              <w:rPr>
                <w:rFonts w:ascii="Arial" w:eastAsia="Times New Roman" w:hAnsi="Arial" w:cs="Arial"/>
                <w:bCs/>
                <w:color w:val="000000"/>
                <w:sz w:val="16"/>
                <w:szCs w:val="16"/>
                <w:lang w:eastAsia="hr-HR"/>
              </w:rPr>
            </w:pPr>
            <w:r w:rsidRPr="00AB62F9">
              <w:rPr>
                <w:rFonts w:ascii="Arial" w:eastAsia="Times New Roman" w:hAnsi="Arial" w:cs="Arial"/>
                <w:bCs/>
                <w:color w:val="000000"/>
                <w:sz w:val="16"/>
                <w:szCs w:val="16"/>
                <w:lang w:eastAsia="hr-HR"/>
              </w:rPr>
              <w:t>5,785</w:t>
            </w:r>
          </w:p>
        </w:tc>
        <w:tc>
          <w:tcPr>
            <w:tcW w:w="1420" w:type="dxa"/>
            <w:tcBorders>
              <w:top w:val="nil"/>
              <w:left w:val="nil"/>
              <w:bottom w:val="single" w:sz="4" w:space="0" w:color="000080"/>
              <w:right w:val="single" w:sz="4" w:space="0" w:color="000080"/>
            </w:tcBorders>
            <w:shd w:val="clear" w:color="auto" w:fill="auto"/>
            <w:noWrap/>
            <w:vAlign w:val="center"/>
            <w:hideMark/>
          </w:tcPr>
          <w:p w:rsidR="008063BC" w:rsidRPr="00AB62F9" w:rsidRDefault="008063BC" w:rsidP="008063BC">
            <w:pPr>
              <w:spacing w:after="0" w:line="240" w:lineRule="auto"/>
              <w:jc w:val="right"/>
              <w:rPr>
                <w:rFonts w:ascii="Arial" w:eastAsia="Times New Roman" w:hAnsi="Arial" w:cs="Arial"/>
                <w:bCs/>
                <w:color w:val="000000"/>
                <w:sz w:val="16"/>
                <w:szCs w:val="16"/>
                <w:lang w:eastAsia="hr-HR"/>
              </w:rPr>
            </w:pPr>
            <w:r w:rsidRPr="00AB62F9">
              <w:rPr>
                <w:rFonts w:ascii="Arial" w:eastAsia="Times New Roman" w:hAnsi="Arial" w:cs="Arial"/>
                <w:bCs/>
                <w:color w:val="000000"/>
                <w:sz w:val="16"/>
                <w:szCs w:val="16"/>
                <w:lang w:eastAsia="hr-HR"/>
              </w:rPr>
              <w:t>26,821</w:t>
            </w:r>
          </w:p>
        </w:tc>
      </w:tr>
      <w:tr w:rsidR="008063BC" w:rsidRPr="00AB62F9" w:rsidTr="00B77479">
        <w:trPr>
          <w:trHeight w:val="300"/>
          <w:jc w:val="center"/>
        </w:trPr>
        <w:tc>
          <w:tcPr>
            <w:tcW w:w="1360" w:type="dxa"/>
            <w:tcBorders>
              <w:top w:val="nil"/>
              <w:left w:val="single" w:sz="4" w:space="0" w:color="000080"/>
              <w:bottom w:val="single" w:sz="4" w:space="0" w:color="000080"/>
              <w:right w:val="single" w:sz="4" w:space="0" w:color="000080"/>
            </w:tcBorders>
            <w:shd w:val="clear" w:color="auto" w:fill="auto"/>
            <w:noWrap/>
            <w:vAlign w:val="center"/>
            <w:hideMark/>
          </w:tcPr>
          <w:p w:rsidR="008063BC" w:rsidRPr="00AB62F9" w:rsidRDefault="008063BC" w:rsidP="00AB62F9">
            <w:pPr>
              <w:spacing w:after="0" w:line="240" w:lineRule="auto"/>
              <w:ind w:firstLineChars="200" w:firstLine="320"/>
              <w:rPr>
                <w:rFonts w:ascii="Arial" w:eastAsia="Times New Roman" w:hAnsi="Arial" w:cs="Arial"/>
                <w:sz w:val="16"/>
                <w:szCs w:val="16"/>
                <w:lang w:eastAsia="hr-HR"/>
              </w:rPr>
            </w:pPr>
            <w:r w:rsidRPr="00AB62F9">
              <w:rPr>
                <w:rFonts w:ascii="Arial" w:eastAsia="Times New Roman" w:hAnsi="Arial" w:cs="Arial"/>
                <w:sz w:val="16"/>
                <w:szCs w:val="16"/>
                <w:lang w:eastAsia="hr-HR"/>
              </w:rPr>
              <w:t>- ostali izvori</w:t>
            </w:r>
          </w:p>
        </w:tc>
        <w:tc>
          <w:tcPr>
            <w:tcW w:w="1120" w:type="dxa"/>
            <w:tcBorders>
              <w:top w:val="nil"/>
              <w:left w:val="nil"/>
              <w:bottom w:val="single" w:sz="4" w:space="0" w:color="000080"/>
              <w:right w:val="single" w:sz="4" w:space="0" w:color="000080"/>
            </w:tcBorders>
            <w:shd w:val="clear" w:color="auto" w:fill="auto"/>
            <w:noWrap/>
            <w:vAlign w:val="center"/>
            <w:hideMark/>
          </w:tcPr>
          <w:p w:rsidR="008063BC" w:rsidRPr="00AB62F9" w:rsidRDefault="008063BC" w:rsidP="008063BC">
            <w:pPr>
              <w:spacing w:after="0" w:line="240" w:lineRule="auto"/>
              <w:jc w:val="right"/>
              <w:rPr>
                <w:rFonts w:ascii="Arial" w:eastAsia="Times New Roman" w:hAnsi="Arial" w:cs="Arial"/>
                <w:b/>
                <w:bCs/>
                <w:color w:val="000000"/>
                <w:sz w:val="16"/>
                <w:szCs w:val="16"/>
                <w:lang w:eastAsia="hr-HR"/>
              </w:rPr>
            </w:pPr>
            <w:r w:rsidRPr="00AB62F9">
              <w:rPr>
                <w:rFonts w:ascii="Arial" w:eastAsia="Times New Roman" w:hAnsi="Arial" w:cs="Arial"/>
                <w:b/>
                <w:bCs/>
                <w:color w:val="000000"/>
                <w:sz w:val="16"/>
                <w:szCs w:val="16"/>
                <w:lang w:eastAsia="hr-HR"/>
              </w:rPr>
              <w:t>,858</w:t>
            </w:r>
          </w:p>
        </w:tc>
        <w:tc>
          <w:tcPr>
            <w:tcW w:w="1420" w:type="dxa"/>
            <w:tcBorders>
              <w:top w:val="nil"/>
              <w:left w:val="nil"/>
              <w:bottom w:val="single" w:sz="4" w:space="0" w:color="000080"/>
              <w:right w:val="single" w:sz="4" w:space="0" w:color="000080"/>
            </w:tcBorders>
            <w:shd w:val="clear" w:color="auto" w:fill="auto"/>
            <w:noWrap/>
            <w:vAlign w:val="center"/>
            <w:hideMark/>
          </w:tcPr>
          <w:p w:rsidR="008063BC" w:rsidRPr="00AB62F9" w:rsidRDefault="008063BC" w:rsidP="008063BC">
            <w:pPr>
              <w:spacing w:after="0" w:line="240" w:lineRule="auto"/>
              <w:jc w:val="right"/>
              <w:rPr>
                <w:rFonts w:ascii="Arial" w:eastAsia="Times New Roman" w:hAnsi="Arial" w:cs="Arial"/>
                <w:bCs/>
                <w:color w:val="000000"/>
                <w:sz w:val="16"/>
                <w:szCs w:val="16"/>
                <w:lang w:eastAsia="hr-HR"/>
              </w:rPr>
            </w:pPr>
            <w:r w:rsidRPr="00AB62F9">
              <w:rPr>
                <w:rFonts w:ascii="Arial" w:eastAsia="Times New Roman" w:hAnsi="Arial" w:cs="Arial"/>
                <w:bCs/>
                <w:color w:val="000000"/>
                <w:sz w:val="16"/>
                <w:szCs w:val="16"/>
                <w:lang w:eastAsia="hr-HR"/>
              </w:rPr>
              <w:t>,158</w:t>
            </w:r>
          </w:p>
        </w:tc>
        <w:tc>
          <w:tcPr>
            <w:tcW w:w="1420" w:type="dxa"/>
            <w:tcBorders>
              <w:top w:val="nil"/>
              <w:left w:val="nil"/>
              <w:bottom w:val="single" w:sz="4" w:space="0" w:color="000080"/>
              <w:right w:val="single" w:sz="4" w:space="0" w:color="000080"/>
            </w:tcBorders>
            <w:shd w:val="clear" w:color="auto" w:fill="auto"/>
            <w:noWrap/>
            <w:vAlign w:val="center"/>
            <w:hideMark/>
          </w:tcPr>
          <w:p w:rsidR="008063BC" w:rsidRPr="00AB62F9" w:rsidRDefault="008063BC" w:rsidP="008063BC">
            <w:pPr>
              <w:spacing w:after="0" w:line="240" w:lineRule="auto"/>
              <w:jc w:val="right"/>
              <w:rPr>
                <w:rFonts w:ascii="Arial" w:eastAsia="Times New Roman" w:hAnsi="Arial" w:cs="Arial"/>
                <w:bCs/>
                <w:color w:val="000000"/>
                <w:sz w:val="16"/>
                <w:szCs w:val="16"/>
                <w:lang w:eastAsia="hr-HR"/>
              </w:rPr>
            </w:pPr>
            <w:r w:rsidRPr="00AB62F9">
              <w:rPr>
                <w:rFonts w:ascii="Arial" w:eastAsia="Times New Roman" w:hAnsi="Arial" w:cs="Arial"/>
                <w:bCs/>
                <w:color w:val="000000"/>
                <w:sz w:val="16"/>
                <w:szCs w:val="16"/>
                <w:lang w:eastAsia="hr-HR"/>
              </w:rPr>
              <w:t>,218</w:t>
            </w:r>
          </w:p>
        </w:tc>
        <w:tc>
          <w:tcPr>
            <w:tcW w:w="1420" w:type="dxa"/>
            <w:tcBorders>
              <w:top w:val="nil"/>
              <w:left w:val="nil"/>
              <w:bottom w:val="single" w:sz="4" w:space="0" w:color="000080"/>
              <w:right w:val="single" w:sz="4" w:space="0" w:color="000080"/>
            </w:tcBorders>
            <w:shd w:val="clear" w:color="auto" w:fill="auto"/>
            <w:noWrap/>
            <w:vAlign w:val="center"/>
            <w:hideMark/>
          </w:tcPr>
          <w:p w:rsidR="008063BC" w:rsidRPr="00AB62F9" w:rsidRDefault="008063BC" w:rsidP="008063BC">
            <w:pPr>
              <w:spacing w:after="0" w:line="240" w:lineRule="auto"/>
              <w:jc w:val="right"/>
              <w:rPr>
                <w:rFonts w:ascii="Arial" w:eastAsia="Times New Roman" w:hAnsi="Arial" w:cs="Arial"/>
                <w:bCs/>
                <w:color w:val="000000"/>
                <w:sz w:val="16"/>
                <w:szCs w:val="16"/>
                <w:lang w:eastAsia="hr-HR"/>
              </w:rPr>
            </w:pPr>
            <w:r w:rsidRPr="00AB62F9">
              <w:rPr>
                <w:rFonts w:ascii="Arial" w:eastAsia="Times New Roman" w:hAnsi="Arial" w:cs="Arial"/>
                <w:bCs/>
                <w:color w:val="000000"/>
                <w:sz w:val="16"/>
                <w:szCs w:val="16"/>
                <w:lang w:eastAsia="hr-HR"/>
              </w:rPr>
              <w:t>,482</w:t>
            </w:r>
          </w:p>
        </w:tc>
      </w:tr>
    </w:tbl>
    <w:p w:rsidR="00FA5F97" w:rsidRPr="00FA7F54" w:rsidRDefault="00FA5F97" w:rsidP="0003259E">
      <w:pPr>
        <w:spacing w:after="0" w:line="240" w:lineRule="auto"/>
        <w:rPr>
          <w:rFonts w:ascii="Times New Roman" w:hAnsi="Times New Roman" w:cs="Times New Roman"/>
        </w:rPr>
      </w:pPr>
    </w:p>
    <w:p w:rsidR="001933FB" w:rsidRPr="00152182" w:rsidRDefault="001933FB" w:rsidP="00CA2E8B">
      <w:pPr>
        <w:shd w:val="clear" w:color="auto" w:fill="FFFFFF"/>
        <w:spacing w:after="0" w:line="240" w:lineRule="auto"/>
        <w:ind w:firstLine="360"/>
        <w:jc w:val="both"/>
        <w:rPr>
          <w:rFonts w:ascii="Times New Roman" w:hAnsi="Times New Roman" w:cs="Times New Roman"/>
          <w:u w:val="single"/>
        </w:rPr>
      </w:pPr>
      <w:r w:rsidRPr="00152182">
        <w:rPr>
          <w:rFonts w:ascii="Times New Roman" w:hAnsi="Times New Roman" w:cs="Times New Roman"/>
          <w:u w:val="single"/>
        </w:rPr>
        <w:t>Mjere za smanjenj</w:t>
      </w:r>
      <w:r w:rsidR="00CA2E8B" w:rsidRPr="00152182">
        <w:rPr>
          <w:rFonts w:ascii="Times New Roman" w:hAnsi="Times New Roman" w:cs="Times New Roman"/>
          <w:u w:val="single"/>
        </w:rPr>
        <w:t>e odnosno optimizaciju rashoda:</w:t>
      </w:r>
    </w:p>
    <w:p w:rsidR="00137BA0" w:rsidRPr="00152182" w:rsidRDefault="00137BA0" w:rsidP="00922D60">
      <w:pPr>
        <w:pStyle w:val="Odlomakpopisa"/>
        <w:numPr>
          <w:ilvl w:val="0"/>
          <w:numId w:val="26"/>
        </w:numPr>
        <w:shd w:val="clear" w:color="auto" w:fill="FFFFFF"/>
        <w:spacing w:after="0" w:line="240" w:lineRule="auto"/>
        <w:jc w:val="both"/>
        <w:rPr>
          <w:rFonts w:ascii="Times New Roman" w:hAnsi="Times New Roman" w:cs="Times New Roman"/>
        </w:rPr>
      </w:pPr>
      <w:r w:rsidRPr="00152182">
        <w:rPr>
          <w:rFonts w:ascii="Times New Roman" w:hAnsi="Times New Roman" w:cs="Times New Roman"/>
        </w:rPr>
        <w:t xml:space="preserve">Optimizacija/standardizacija proizvoda i usluga i ostvarivanja ušteda u javnoj potrošnji  kroz učinkoviti sustav središnje javne nabave </w:t>
      </w:r>
    </w:p>
    <w:p w:rsidR="00202BA9" w:rsidRPr="00B723C7" w:rsidRDefault="00202BA9" w:rsidP="00B723C7">
      <w:pPr>
        <w:spacing w:after="0" w:line="240" w:lineRule="auto"/>
        <w:jc w:val="both"/>
        <w:rPr>
          <w:rFonts w:ascii="Times New Roman" w:hAnsi="Times New Roman" w:cs="Times New Roman"/>
          <w:b/>
        </w:rPr>
      </w:pPr>
      <w:r w:rsidRPr="00B723C7">
        <w:rPr>
          <w:rFonts w:ascii="Times New Roman" w:hAnsi="Times New Roman" w:cs="Times New Roman"/>
          <w:b/>
        </w:rPr>
        <w:t xml:space="preserve">Obvezno osiguranje o automobilske odgovornosti i </w:t>
      </w:r>
      <w:proofErr w:type="spellStart"/>
      <w:r w:rsidRPr="00B723C7">
        <w:rPr>
          <w:rFonts w:ascii="Times New Roman" w:hAnsi="Times New Roman" w:cs="Times New Roman"/>
          <w:b/>
        </w:rPr>
        <w:t>kasko</w:t>
      </w:r>
      <w:proofErr w:type="spellEnd"/>
      <w:r w:rsidRPr="00B723C7">
        <w:rPr>
          <w:rFonts w:ascii="Times New Roman" w:hAnsi="Times New Roman" w:cs="Times New Roman"/>
          <w:b/>
        </w:rPr>
        <w:t xml:space="preserve"> osiguranje</w:t>
      </w:r>
    </w:p>
    <w:p w:rsidR="00202BA9" w:rsidRPr="003574AD" w:rsidRDefault="00202BA9" w:rsidP="009D6943">
      <w:pPr>
        <w:spacing w:line="240" w:lineRule="auto"/>
        <w:jc w:val="both"/>
        <w:rPr>
          <w:rFonts w:ascii="Times New Roman" w:hAnsi="Times New Roman" w:cs="Times New Roman"/>
        </w:rPr>
      </w:pPr>
      <w:r w:rsidRPr="003574AD">
        <w:rPr>
          <w:rFonts w:ascii="Times New Roman" w:hAnsi="Times New Roman" w:cs="Times New Roman"/>
        </w:rPr>
        <w:t xml:space="preserve">Postupak središnje nabave za Obvezno osiguranje o automobilske odgovornosti i </w:t>
      </w:r>
      <w:proofErr w:type="spellStart"/>
      <w:r w:rsidRPr="003574AD">
        <w:rPr>
          <w:rFonts w:ascii="Times New Roman" w:hAnsi="Times New Roman" w:cs="Times New Roman"/>
        </w:rPr>
        <w:t>kasko</w:t>
      </w:r>
      <w:proofErr w:type="spellEnd"/>
      <w:r w:rsidRPr="003574AD">
        <w:rPr>
          <w:rFonts w:ascii="Times New Roman" w:hAnsi="Times New Roman" w:cs="Times New Roman"/>
        </w:rPr>
        <w:t xml:space="preserve"> osiguranje je proveden u 2015. godini za </w:t>
      </w:r>
      <w:r w:rsidR="007B0422">
        <w:rPr>
          <w:rFonts w:ascii="Times New Roman" w:hAnsi="Times New Roman" w:cs="Times New Roman"/>
        </w:rPr>
        <w:t>dvogodišnje razdoblje za 34 središnjih tijela državne uprave</w:t>
      </w:r>
      <w:r w:rsidRPr="003574AD">
        <w:rPr>
          <w:rFonts w:ascii="Times New Roman" w:hAnsi="Times New Roman" w:cs="Times New Roman"/>
        </w:rPr>
        <w:t xml:space="preserve"> (obveznike središnje javne nabave), pri čemu je okvirni broj vozila za AO os</w:t>
      </w:r>
      <w:r w:rsidR="001A16E4">
        <w:rPr>
          <w:rFonts w:ascii="Times New Roman" w:hAnsi="Times New Roman" w:cs="Times New Roman"/>
        </w:rPr>
        <w:t>iguranje na godišnjoj razini</w:t>
      </w:r>
      <w:r w:rsidRPr="003574AD">
        <w:rPr>
          <w:rFonts w:ascii="Times New Roman" w:hAnsi="Times New Roman" w:cs="Times New Roman"/>
        </w:rPr>
        <w:t xml:space="preserve"> 6</w:t>
      </w:r>
      <w:r w:rsidR="00835207">
        <w:rPr>
          <w:rFonts w:ascii="Times New Roman" w:hAnsi="Times New Roman" w:cs="Times New Roman"/>
        </w:rPr>
        <w:t>.</w:t>
      </w:r>
      <w:r w:rsidRPr="003574AD">
        <w:rPr>
          <w:rFonts w:ascii="Times New Roman" w:hAnsi="Times New Roman" w:cs="Times New Roman"/>
        </w:rPr>
        <w:t xml:space="preserve">808, a okvirni broj vozila za </w:t>
      </w:r>
      <w:proofErr w:type="spellStart"/>
      <w:r w:rsidRPr="003574AD">
        <w:rPr>
          <w:rFonts w:ascii="Times New Roman" w:hAnsi="Times New Roman" w:cs="Times New Roman"/>
        </w:rPr>
        <w:t>kasko</w:t>
      </w:r>
      <w:proofErr w:type="spellEnd"/>
      <w:r w:rsidRPr="003574AD">
        <w:rPr>
          <w:rFonts w:ascii="Times New Roman" w:hAnsi="Times New Roman" w:cs="Times New Roman"/>
        </w:rPr>
        <w:t xml:space="preserve"> o</w:t>
      </w:r>
      <w:r w:rsidR="001A16E4">
        <w:rPr>
          <w:rFonts w:ascii="Times New Roman" w:hAnsi="Times New Roman" w:cs="Times New Roman"/>
        </w:rPr>
        <w:t xml:space="preserve">siguranje na godišnjoj razini </w:t>
      </w:r>
      <w:r w:rsidRPr="003574AD">
        <w:rPr>
          <w:rFonts w:ascii="Times New Roman" w:hAnsi="Times New Roman" w:cs="Times New Roman"/>
        </w:rPr>
        <w:t>778.</w:t>
      </w:r>
    </w:p>
    <w:p w:rsidR="00202BA9" w:rsidRPr="003574AD" w:rsidRDefault="00202BA9" w:rsidP="009D6943">
      <w:pPr>
        <w:spacing w:line="240" w:lineRule="auto"/>
        <w:jc w:val="both"/>
        <w:rPr>
          <w:rFonts w:ascii="Times New Roman" w:hAnsi="Times New Roman" w:cs="Times New Roman"/>
        </w:rPr>
      </w:pPr>
      <w:r w:rsidRPr="003574AD">
        <w:rPr>
          <w:rFonts w:ascii="Times New Roman" w:hAnsi="Times New Roman" w:cs="Times New Roman"/>
        </w:rPr>
        <w:t>S obzirom da je dokument</w:t>
      </w:r>
      <w:r w:rsidR="001A16E4">
        <w:rPr>
          <w:rFonts w:ascii="Times New Roman" w:hAnsi="Times New Roman" w:cs="Times New Roman"/>
        </w:rPr>
        <w:t>acijom za nadmetanje predviđen b</w:t>
      </w:r>
      <w:r w:rsidRPr="003574AD">
        <w:rPr>
          <w:rFonts w:ascii="Times New Roman" w:hAnsi="Times New Roman" w:cs="Times New Roman"/>
        </w:rPr>
        <w:t>onus/</w:t>
      </w:r>
      <w:proofErr w:type="spellStart"/>
      <w:r w:rsidRPr="003574AD">
        <w:rPr>
          <w:rFonts w:ascii="Times New Roman" w:hAnsi="Times New Roman" w:cs="Times New Roman"/>
        </w:rPr>
        <w:t>malus</w:t>
      </w:r>
      <w:proofErr w:type="spellEnd"/>
      <w:r w:rsidRPr="003574AD">
        <w:rPr>
          <w:rFonts w:ascii="Times New Roman" w:hAnsi="Times New Roman" w:cs="Times New Roman"/>
        </w:rPr>
        <w:t xml:space="preserve"> sustav  (visina premije AO osiguranja utvrđuje se prema premijskim stupnjevima  ovisno o tome da li je u prethodnom razdoblju vozi</w:t>
      </w:r>
      <w:r w:rsidR="00835207">
        <w:rPr>
          <w:rFonts w:ascii="Times New Roman" w:hAnsi="Times New Roman" w:cs="Times New Roman"/>
        </w:rPr>
        <w:t>l</w:t>
      </w:r>
      <w:r w:rsidRPr="003574AD">
        <w:rPr>
          <w:rFonts w:ascii="Times New Roman" w:hAnsi="Times New Roman" w:cs="Times New Roman"/>
        </w:rPr>
        <w:t xml:space="preserve">o imalo prijavljene štete) te s ciljem da iznos ponude bude koliko je to moguće bliži budućoj stvarnoj premiji, za davanje ponude u nadmetanju </w:t>
      </w:r>
      <w:r w:rsidR="001A16E4">
        <w:rPr>
          <w:rFonts w:ascii="Times New Roman" w:hAnsi="Times New Roman" w:cs="Times New Roman"/>
        </w:rPr>
        <w:t>obračunavao se</w:t>
      </w:r>
      <w:r w:rsidRPr="003574AD">
        <w:rPr>
          <w:rFonts w:ascii="Times New Roman" w:hAnsi="Times New Roman" w:cs="Times New Roman"/>
        </w:rPr>
        <w:t xml:space="preserve"> za sva vozila bonus od 40%. Za predmetno nadmetanje sklopljen je Okvirni sporazum s odabranim ponuditeljem Croatia osiguranje d.d. čija je ponuda bila najpovoljnija prema kriteriju za odabir ponude. Unatoč očekivanih ušteda od </w:t>
      </w:r>
      <w:proofErr w:type="spellStart"/>
      <w:r w:rsidRPr="003574AD">
        <w:rPr>
          <w:rFonts w:ascii="Times New Roman" w:hAnsi="Times New Roman" w:cs="Times New Roman"/>
        </w:rPr>
        <w:t>cca</w:t>
      </w:r>
      <w:proofErr w:type="spellEnd"/>
      <w:r w:rsidRPr="003574AD">
        <w:rPr>
          <w:rFonts w:ascii="Times New Roman" w:hAnsi="Times New Roman" w:cs="Times New Roman"/>
        </w:rPr>
        <w:t xml:space="preserve"> 20-30% u odnosu na tržišne cijene, DUSJN je u postupku postigao iznimno niske cijene (koje ne bi smjele biti ref</w:t>
      </w:r>
      <w:r w:rsidR="001A6EE9">
        <w:rPr>
          <w:rFonts w:ascii="Times New Roman" w:hAnsi="Times New Roman" w:cs="Times New Roman"/>
        </w:rPr>
        <w:t>erentne za ostale korisnike već</w:t>
      </w:r>
      <w:r w:rsidRPr="003574AD">
        <w:rPr>
          <w:rFonts w:ascii="Times New Roman" w:hAnsi="Times New Roman" w:cs="Times New Roman"/>
        </w:rPr>
        <w:t xml:space="preserve"> samo za 34 obveznika) za sljedeće dvogodišnje razdoblje. </w:t>
      </w:r>
    </w:p>
    <w:p w:rsidR="00202BA9" w:rsidRPr="003574AD" w:rsidRDefault="00202BA9" w:rsidP="009D6943">
      <w:pPr>
        <w:spacing w:line="240" w:lineRule="auto"/>
        <w:jc w:val="both"/>
        <w:rPr>
          <w:rFonts w:ascii="Times New Roman" w:hAnsi="Times New Roman" w:cs="Times New Roman"/>
        </w:rPr>
      </w:pPr>
      <w:r w:rsidRPr="003574AD">
        <w:rPr>
          <w:rFonts w:ascii="Times New Roman" w:hAnsi="Times New Roman" w:cs="Times New Roman"/>
        </w:rPr>
        <w:t>Primjer cijena za osiguranje jednog vozila za ZG registarsko područje, u tri (najčešće) kategorije osobnih automobila:</w:t>
      </w:r>
    </w:p>
    <w:tbl>
      <w:tblPr>
        <w:tblW w:w="0" w:type="auto"/>
        <w:tblInd w:w="548" w:type="dxa"/>
        <w:tblCellMar>
          <w:left w:w="0" w:type="dxa"/>
          <w:right w:w="0" w:type="dxa"/>
        </w:tblCellMar>
        <w:tblLook w:val="04A0" w:firstRow="1" w:lastRow="0" w:firstColumn="1" w:lastColumn="0" w:noHBand="0" w:noVBand="1"/>
      </w:tblPr>
      <w:tblGrid>
        <w:gridCol w:w="1951"/>
        <w:gridCol w:w="2410"/>
        <w:gridCol w:w="2410"/>
      </w:tblGrid>
      <w:tr w:rsidR="00202BA9" w:rsidRPr="003574AD" w:rsidTr="009D6943">
        <w:trPr>
          <w:trHeight w:val="744"/>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2BA9" w:rsidRPr="009D6943" w:rsidRDefault="00202BA9" w:rsidP="009D6943">
            <w:pPr>
              <w:spacing w:after="0" w:line="240" w:lineRule="auto"/>
              <w:jc w:val="center"/>
              <w:rPr>
                <w:rFonts w:ascii="Times New Roman" w:hAnsi="Times New Roman" w:cs="Times New Roman"/>
                <w:sz w:val="18"/>
                <w:szCs w:val="18"/>
              </w:rPr>
            </w:pPr>
            <w:r w:rsidRPr="009D6943">
              <w:rPr>
                <w:rFonts w:ascii="Times New Roman" w:hAnsi="Times New Roman" w:cs="Times New Roman"/>
                <w:sz w:val="18"/>
                <w:szCs w:val="18"/>
              </w:rPr>
              <w:t>Snaga</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2BA9" w:rsidRPr="009D6943" w:rsidRDefault="00202BA9" w:rsidP="009D6943">
            <w:pPr>
              <w:spacing w:after="0" w:line="240" w:lineRule="auto"/>
              <w:jc w:val="center"/>
              <w:rPr>
                <w:rFonts w:ascii="Times New Roman" w:hAnsi="Times New Roman" w:cs="Times New Roman"/>
                <w:sz w:val="18"/>
                <w:szCs w:val="18"/>
              </w:rPr>
            </w:pPr>
            <w:r w:rsidRPr="009D6943">
              <w:rPr>
                <w:rFonts w:ascii="Times New Roman" w:hAnsi="Times New Roman" w:cs="Times New Roman"/>
                <w:sz w:val="18"/>
                <w:szCs w:val="18"/>
              </w:rPr>
              <w:t>TRŽIŠNO</w:t>
            </w:r>
          </w:p>
          <w:p w:rsidR="00202BA9" w:rsidRPr="009D6943" w:rsidRDefault="00202BA9" w:rsidP="009D6943">
            <w:pPr>
              <w:spacing w:after="0" w:line="240" w:lineRule="auto"/>
              <w:jc w:val="center"/>
              <w:rPr>
                <w:rFonts w:ascii="Times New Roman" w:hAnsi="Times New Roman" w:cs="Times New Roman"/>
                <w:sz w:val="18"/>
                <w:szCs w:val="18"/>
              </w:rPr>
            </w:pPr>
            <w:r w:rsidRPr="009D6943">
              <w:rPr>
                <w:rFonts w:ascii="Times New Roman" w:hAnsi="Times New Roman" w:cs="Times New Roman"/>
                <w:sz w:val="18"/>
                <w:szCs w:val="18"/>
              </w:rPr>
              <w:t>Ukupna premija s 0% bonusa i posebnim porezom od 15%</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2BA9" w:rsidRPr="009D6943" w:rsidRDefault="00202BA9" w:rsidP="009D6943">
            <w:pPr>
              <w:spacing w:after="0" w:line="240" w:lineRule="auto"/>
              <w:jc w:val="center"/>
              <w:rPr>
                <w:rFonts w:ascii="Times New Roman" w:hAnsi="Times New Roman" w:cs="Times New Roman"/>
                <w:sz w:val="18"/>
                <w:szCs w:val="18"/>
              </w:rPr>
            </w:pPr>
            <w:r w:rsidRPr="009D6943">
              <w:rPr>
                <w:rFonts w:ascii="Times New Roman" w:hAnsi="Times New Roman" w:cs="Times New Roman"/>
                <w:sz w:val="18"/>
                <w:szCs w:val="18"/>
              </w:rPr>
              <w:t xml:space="preserve">DUSJN </w:t>
            </w:r>
          </w:p>
          <w:p w:rsidR="00202BA9" w:rsidRPr="009D6943" w:rsidRDefault="00202BA9" w:rsidP="009D6943">
            <w:pPr>
              <w:spacing w:after="0" w:line="240" w:lineRule="auto"/>
              <w:jc w:val="center"/>
              <w:rPr>
                <w:rFonts w:ascii="Times New Roman" w:hAnsi="Times New Roman" w:cs="Times New Roman"/>
                <w:sz w:val="18"/>
                <w:szCs w:val="18"/>
              </w:rPr>
            </w:pPr>
            <w:r w:rsidRPr="009D6943">
              <w:rPr>
                <w:rFonts w:ascii="Times New Roman" w:hAnsi="Times New Roman" w:cs="Times New Roman"/>
                <w:sz w:val="18"/>
                <w:szCs w:val="18"/>
              </w:rPr>
              <w:t>Ukupna premija s 0% bonusa i posebnim porezom od 15%</w:t>
            </w:r>
          </w:p>
        </w:tc>
      </w:tr>
      <w:tr w:rsidR="00202BA9" w:rsidRPr="003574AD" w:rsidTr="00654F24">
        <w:trPr>
          <w:trHeight w:val="190"/>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9" w:rsidRPr="009D6943" w:rsidRDefault="00202BA9" w:rsidP="003574AD">
            <w:pPr>
              <w:spacing w:line="240" w:lineRule="auto"/>
              <w:rPr>
                <w:rFonts w:ascii="Times New Roman" w:hAnsi="Times New Roman" w:cs="Times New Roman"/>
                <w:sz w:val="18"/>
                <w:szCs w:val="18"/>
              </w:rPr>
            </w:pPr>
            <w:r w:rsidRPr="009D6943">
              <w:rPr>
                <w:rFonts w:ascii="Times New Roman" w:hAnsi="Times New Roman" w:cs="Times New Roman"/>
                <w:sz w:val="18"/>
                <w:szCs w:val="18"/>
              </w:rPr>
              <w:t>preko 44 kW – 55 kW</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02BA9" w:rsidRPr="009D6943" w:rsidRDefault="00202BA9" w:rsidP="003574AD">
            <w:pPr>
              <w:spacing w:line="240" w:lineRule="auto"/>
              <w:jc w:val="right"/>
              <w:rPr>
                <w:rFonts w:ascii="Times New Roman" w:hAnsi="Times New Roman" w:cs="Times New Roman"/>
                <w:sz w:val="18"/>
                <w:szCs w:val="18"/>
              </w:rPr>
            </w:pPr>
            <w:r w:rsidRPr="009D6943">
              <w:rPr>
                <w:rFonts w:ascii="Times New Roman" w:hAnsi="Times New Roman" w:cs="Times New Roman"/>
                <w:sz w:val="18"/>
                <w:szCs w:val="18"/>
              </w:rPr>
              <w:t>2.550,00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02BA9" w:rsidRPr="009D6943" w:rsidRDefault="00202BA9" w:rsidP="003574AD">
            <w:pPr>
              <w:spacing w:line="240" w:lineRule="auto"/>
              <w:jc w:val="right"/>
              <w:rPr>
                <w:rFonts w:ascii="Times New Roman" w:hAnsi="Times New Roman" w:cs="Times New Roman"/>
                <w:sz w:val="18"/>
                <w:szCs w:val="18"/>
              </w:rPr>
            </w:pPr>
            <w:r w:rsidRPr="009D6943">
              <w:rPr>
                <w:rFonts w:ascii="Times New Roman" w:hAnsi="Times New Roman" w:cs="Times New Roman"/>
                <w:sz w:val="18"/>
                <w:szCs w:val="18"/>
              </w:rPr>
              <w:t>463,68</w:t>
            </w:r>
          </w:p>
        </w:tc>
      </w:tr>
      <w:tr w:rsidR="00202BA9" w:rsidRPr="003574AD" w:rsidTr="009D6943">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9" w:rsidRPr="009D6943" w:rsidRDefault="00202BA9" w:rsidP="003574AD">
            <w:pPr>
              <w:spacing w:line="240" w:lineRule="auto"/>
              <w:rPr>
                <w:rFonts w:ascii="Times New Roman" w:hAnsi="Times New Roman" w:cs="Times New Roman"/>
                <w:sz w:val="18"/>
                <w:szCs w:val="18"/>
              </w:rPr>
            </w:pPr>
            <w:r w:rsidRPr="009D6943">
              <w:rPr>
                <w:rFonts w:ascii="Times New Roman" w:hAnsi="Times New Roman" w:cs="Times New Roman"/>
                <w:sz w:val="18"/>
                <w:szCs w:val="18"/>
              </w:rPr>
              <w:t>preko 66 kW – 84 kW</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02BA9" w:rsidRPr="009D6943" w:rsidRDefault="00202BA9" w:rsidP="003574AD">
            <w:pPr>
              <w:spacing w:line="240" w:lineRule="auto"/>
              <w:jc w:val="right"/>
              <w:rPr>
                <w:rFonts w:ascii="Times New Roman" w:hAnsi="Times New Roman" w:cs="Times New Roman"/>
                <w:sz w:val="18"/>
                <w:szCs w:val="18"/>
              </w:rPr>
            </w:pPr>
            <w:r w:rsidRPr="009D6943">
              <w:rPr>
                <w:rFonts w:ascii="Times New Roman" w:hAnsi="Times New Roman" w:cs="Times New Roman"/>
                <w:sz w:val="18"/>
                <w:szCs w:val="18"/>
              </w:rPr>
              <w:t>3.200,00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02BA9" w:rsidRPr="009D6943" w:rsidRDefault="00202BA9" w:rsidP="003574AD">
            <w:pPr>
              <w:spacing w:line="240" w:lineRule="auto"/>
              <w:jc w:val="right"/>
              <w:rPr>
                <w:rFonts w:ascii="Times New Roman" w:hAnsi="Times New Roman" w:cs="Times New Roman"/>
                <w:sz w:val="18"/>
                <w:szCs w:val="18"/>
              </w:rPr>
            </w:pPr>
            <w:r w:rsidRPr="009D6943">
              <w:rPr>
                <w:rFonts w:ascii="Times New Roman" w:hAnsi="Times New Roman" w:cs="Times New Roman"/>
                <w:sz w:val="18"/>
                <w:szCs w:val="18"/>
              </w:rPr>
              <w:t>564,40</w:t>
            </w:r>
          </w:p>
        </w:tc>
      </w:tr>
      <w:tr w:rsidR="00202BA9" w:rsidRPr="003574AD" w:rsidTr="009D6943">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9" w:rsidRPr="009D6943" w:rsidRDefault="00202BA9" w:rsidP="003574AD">
            <w:pPr>
              <w:spacing w:line="240" w:lineRule="auto"/>
              <w:rPr>
                <w:rFonts w:ascii="Times New Roman" w:hAnsi="Times New Roman" w:cs="Times New Roman"/>
                <w:sz w:val="18"/>
                <w:szCs w:val="18"/>
              </w:rPr>
            </w:pPr>
            <w:r w:rsidRPr="009D6943">
              <w:rPr>
                <w:rFonts w:ascii="Times New Roman" w:hAnsi="Times New Roman" w:cs="Times New Roman"/>
                <w:sz w:val="18"/>
                <w:szCs w:val="18"/>
              </w:rPr>
              <w:t>preko 84 kW – 110 kW</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02BA9" w:rsidRPr="009D6943" w:rsidRDefault="00202BA9" w:rsidP="003574AD">
            <w:pPr>
              <w:spacing w:line="240" w:lineRule="auto"/>
              <w:jc w:val="right"/>
              <w:rPr>
                <w:rFonts w:ascii="Times New Roman" w:hAnsi="Times New Roman" w:cs="Times New Roman"/>
                <w:sz w:val="18"/>
                <w:szCs w:val="18"/>
              </w:rPr>
            </w:pPr>
            <w:r w:rsidRPr="009D6943">
              <w:rPr>
                <w:rFonts w:ascii="Times New Roman" w:hAnsi="Times New Roman" w:cs="Times New Roman"/>
                <w:sz w:val="18"/>
                <w:szCs w:val="18"/>
              </w:rPr>
              <w:t>3.834,00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02BA9" w:rsidRPr="009D6943" w:rsidRDefault="00202BA9" w:rsidP="003574AD">
            <w:pPr>
              <w:spacing w:line="240" w:lineRule="auto"/>
              <w:jc w:val="right"/>
              <w:rPr>
                <w:rFonts w:ascii="Times New Roman" w:hAnsi="Times New Roman" w:cs="Times New Roman"/>
                <w:sz w:val="18"/>
                <w:szCs w:val="18"/>
              </w:rPr>
            </w:pPr>
            <w:r w:rsidRPr="009D6943">
              <w:rPr>
                <w:rFonts w:ascii="Times New Roman" w:hAnsi="Times New Roman" w:cs="Times New Roman"/>
                <w:sz w:val="18"/>
                <w:szCs w:val="18"/>
              </w:rPr>
              <w:t>645,16</w:t>
            </w:r>
          </w:p>
        </w:tc>
      </w:tr>
    </w:tbl>
    <w:p w:rsidR="00202BA9" w:rsidRPr="003574AD" w:rsidRDefault="00202BA9" w:rsidP="00B723C7">
      <w:pPr>
        <w:spacing w:after="0" w:line="240" w:lineRule="auto"/>
        <w:rPr>
          <w:rFonts w:ascii="Times New Roman" w:hAnsi="Times New Roman" w:cs="Times New Roman"/>
        </w:rPr>
      </w:pPr>
    </w:p>
    <w:p w:rsidR="00202BA9" w:rsidRPr="00B723C7" w:rsidRDefault="00202BA9" w:rsidP="00B723C7">
      <w:pPr>
        <w:spacing w:after="0" w:line="240" w:lineRule="auto"/>
        <w:jc w:val="both"/>
        <w:rPr>
          <w:rFonts w:ascii="Times New Roman" w:hAnsi="Times New Roman" w:cs="Times New Roman"/>
          <w:b/>
        </w:rPr>
      </w:pPr>
      <w:r w:rsidRPr="00B723C7">
        <w:rPr>
          <w:rFonts w:ascii="Times New Roman" w:hAnsi="Times New Roman" w:cs="Times New Roman"/>
          <w:b/>
        </w:rPr>
        <w:t>Kolektivno osiguranje</w:t>
      </w:r>
    </w:p>
    <w:p w:rsidR="00202BA9" w:rsidRPr="003574AD" w:rsidRDefault="00202BA9" w:rsidP="00B723C7">
      <w:pPr>
        <w:spacing w:after="0" w:line="240" w:lineRule="auto"/>
        <w:jc w:val="both"/>
        <w:rPr>
          <w:rFonts w:ascii="Times New Roman" w:hAnsi="Times New Roman" w:cs="Times New Roman"/>
        </w:rPr>
      </w:pPr>
      <w:r w:rsidRPr="003574AD">
        <w:rPr>
          <w:rFonts w:ascii="Times New Roman" w:hAnsi="Times New Roman" w:cs="Times New Roman"/>
        </w:rPr>
        <w:t>U tijeku je po</w:t>
      </w:r>
      <w:r w:rsidR="009E7FE6">
        <w:rPr>
          <w:rFonts w:ascii="Times New Roman" w:hAnsi="Times New Roman" w:cs="Times New Roman"/>
        </w:rPr>
        <w:t>stupak nabave usluge kolektivnog</w:t>
      </w:r>
      <w:r w:rsidRPr="003574AD">
        <w:rPr>
          <w:rFonts w:ascii="Times New Roman" w:hAnsi="Times New Roman" w:cs="Times New Roman"/>
        </w:rPr>
        <w:t xml:space="preserve"> osiguranja od posljedica nesretnog slučaja i to za zaposlene u tijelima korisnika </w:t>
      </w:r>
      <w:r w:rsidR="00CC1FCD">
        <w:rPr>
          <w:rFonts w:ascii="Times New Roman" w:hAnsi="Times New Roman" w:cs="Times New Roman"/>
        </w:rPr>
        <w:t>d</w:t>
      </w:r>
      <w:r w:rsidRPr="003574AD">
        <w:rPr>
          <w:rFonts w:ascii="Times New Roman" w:hAnsi="Times New Roman" w:cs="Times New Roman"/>
        </w:rPr>
        <w:t>ržavnog proračuna uz isključenje pripadnika oružanih snaga Republike Hrvatske, a sve  temeljem obveza iz kolektivnog ugovora za državne službenike i namještenike i kolektivnog ugovora za javne službenike. Postupak se provodi za</w:t>
      </w:r>
      <w:r w:rsidR="002A545E">
        <w:rPr>
          <w:rFonts w:ascii="Times New Roman" w:hAnsi="Times New Roman" w:cs="Times New Roman"/>
        </w:rPr>
        <w:t xml:space="preserve"> </w:t>
      </w:r>
      <w:proofErr w:type="spellStart"/>
      <w:r w:rsidR="002A545E" w:rsidRPr="003574AD">
        <w:rPr>
          <w:rFonts w:ascii="Times New Roman" w:hAnsi="Times New Roman" w:cs="Times New Roman"/>
        </w:rPr>
        <w:t>cca</w:t>
      </w:r>
      <w:proofErr w:type="spellEnd"/>
      <w:r w:rsidR="002A545E" w:rsidRPr="003574AD">
        <w:rPr>
          <w:rFonts w:ascii="Times New Roman" w:hAnsi="Times New Roman" w:cs="Times New Roman"/>
        </w:rPr>
        <w:t xml:space="preserve"> 240.000</w:t>
      </w:r>
      <w:r w:rsidRPr="003574AD">
        <w:rPr>
          <w:rFonts w:ascii="Times New Roman" w:hAnsi="Times New Roman" w:cs="Times New Roman"/>
        </w:rPr>
        <w:t xml:space="preserve"> </w:t>
      </w:r>
      <w:r w:rsidR="002A545E">
        <w:rPr>
          <w:rFonts w:ascii="Times New Roman" w:hAnsi="Times New Roman" w:cs="Times New Roman"/>
        </w:rPr>
        <w:t>osiguranih osoba</w:t>
      </w:r>
      <w:r w:rsidRPr="003574AD">
        <w:rPr>
          <w:rFonts w:ascii="Times New Roman" w:hAnsi="Times New Roman" w:cs="Times New Roman"/>
        </w:rPr>
        <w:t>. Zaposlenici se osiguravaju 24 sata na dan, za vrijeme i van radnog vremena. Pri tome su zadani sljedeći osigurani iznosi za sljedeće osigurane slučajeve: smrt uslijed nezgode - 30.000,00 kn, smrt uslijed bolesti</w:t>
      </w:r>
      <w:r w:rsidR="0050053A">
        <w:rPr>
          <w:rFonts w:ascii="Times New Roman" w:hAnsi="Times New Roman" w:cs="Times New Roman"/>
        </w:rPr>
        <w:t xml:space="preserve"> </w:t>
      </w:r>
      <w:r w:rsidRPr="003574AD">
        <w:rPr>
          <w:rFonts w:ascii="Times New Roman" w:hAnsi="Times New Roman" w:cs="Times New Roman"/>
        </w:rPr>
        <w:t>- 15.000,00 kn, trajni invaliditet - 60.000,00 kn.</w:t>
      </w:r>
    </w:p>
    <w:p w:rsidR="004A37BD" w:rsidRPr="00FA7F54" w:rsidRDefault="00202BA9" w:rsidP="00CC1FCD">
      <w:pPr>
        <w:spacing w:line="240" w:lineRule="auto"/>
        <w:jc w:val="both"/>
        <w:rPr>
          <w:rFonts w:ascii="Times New Roman" w:hAnsi="Times New Roman" w:cs="Times New Roman"/>
        </w:rPr>
      </w:pPr>
      <w:r w:rsidRPr="003574AD">
        <w:rPr>
          <w:rFonts w:ascii="Times New Roman" w:hAnsi="Times New Roman" w:cs="Times New Roman"/>
        </w:rPr>
        <w:t>Procijenjena vrijednost nabave iznosi 23.000.000,00 kuna, a važeća premija osiguranja po osob</w:t>
      </w:r>
      <w:r w:rsidR="00CC1FCD">
        <w:rPr>
          <w:rFonts w:ascii="Times New Roman" w:hAnsi="Times New Roman" w:cs="Times New Roman"/>
        </w:rPr>
        <w:t xml:space="preserve">i za godinu dana: </w:t>
      </w:r>
      <w:proofErr w:type="spellStart"/>
      <w:r w:rsidR="00CC1FCD">
        <w:rPr>
          <w:rFonts w:ascii="Times New Roman" w:hAnsi="Times New Roman" w:cs="Times New Roman"/>
        </w:rPr>
        <w:t>cca</w:t>
      </w:r>
      <w:proofErr w:type="spellEnd"/>
      <w:r w:rsidR="00CC1FCD">
        <w:rPr>
          <w:rFonts w:ascii="Times New Roman" w:hAnsi="Times New Roman" w:cs="Times New Roman"/>
        </w:rPr>
        <w:t xml:space="preserve"> 40 kuna. </w:t>
      </w:r>
    </w:p>
    <w:p w:rsidR="004919F0" w:rsidRPr="00FA7F54" w:rsidRDefault="004919F0" w:rsidP="004919F0">
      <w:pPr>
        <w:pStyle w:val="Naslov2"/>
        <w:rPr>
          <w:rFonts w:ascii="Times New Roman" w:hAnsi="Times New Roman" w:cs="Times New Roman"/>
          <w:color w:val="auto"/>
          <w:sz w:val="22"/>
          <w:szCs w:val="22"/>
        </w:rPr>
      </w:pPr>
      <w:bookmarkStart w:id="122" w:name="_Toc434411201"/>
      <w:bookmarkStart w:id="123" w:name="_Toc436402344"/>
      <w:r w:rsidRPr="00FA7F54">
        <w:rPr>
          <w:rFonts w:ascii="Times New Roman" w:hAnsi="Times New Roman" w:cs="Times New Roman"/>
          <w:color w:val="auto"/>
          <w:sz w:val="22"/>
          <w:szCs w:val="22"/>
        </w:rPr>
        <w:lastRenderedPageBreak/>
        <w:t>REPREZENTACIJA (3293)</w:t>
      </w:r>
      <w:bookmarkEnd w:id="122"/>
      <w:bookmarkEnd w:id="123"/>
    </w:p>
    <w:p w:rsidR="004919F0" w:rsidRPr="00FA7F54" w:rsidRDefault="004919F0" w:rsidP="00F84DEB">
      <w:pPr>
        <w:spacing w:line="240" w:lineRule="auto"/>
        <w:jc w:val="both"/>
        <w:rPr>
          <w:rFonts w:ascii="Times New Roman" w:hAnsi="Times New Roman" w:cs="Times New Roman"/>
        </w:rPr>
      </w:pPr>
      <w:r w:rsidRPr="00FA7F54">
        <w:rPr>
          <w:rFonts w:ascii="Times New Roman" w:hAnsi="Times New Roman" w:cs="Times New Roman"/>
        </w:rPr>
        <w:t xml:space="preserve">Prema iskazanim podacima u financijskim izvještajima </w:t>
      </w:r>
      <w:r w:rsidR="000A52B8" w:rsidRPr="00FA7F54">
        <w:rPr>
          <w:rFonts w:ascii="Times New Roman" w:hAnsi="Times New Roman" w:cs="Times New Roman"/>
        </w:rPr>
        <w:t>rashodi za reprezentaciju</w:t>
      </w:r>
      <w:r w:rsidRPr="00FA7F54">
        <w:rPr>
          <w:rFonts w:ascii="Times New Roman" w:hAnsi="Times New Roman" w:cs="Times New Roman"/>
        </w:rPr>
        <w:t xml:space="preserve"> u 2013. godini iznosil</w:t>
      </w:r>
      <w:r w:rsidR="000A52B8" w:rsidRPr="00FA7F54">
        <w:rPr>
          <w:rFonts w:ascii="Times New Roman" w:hAnsi="Times New Roman" w:cs="Times New Roman"/>
        </w:rPr>
        <w:t>i</w:t>
      </w:r>
      <w:r w:rsidRPr="00FA7F54">
        <w:rPr>
          <w:rFonts w:ascii="Times New Roman" w:hAnsi="Times New Roman" w:cs="Times New Roman"/>
        </w:rPr>
        <w:t xml:space="preserve"> su </w:t>
      </w:r>
      <w:r w:rsidR="000A52B8" w:rsidRPr="00FA7F54">
        <w:rPr>
          <w:rFonts w:ascii="Times New Roman" w:hAnsi="Times New Roman" w:cs="Times New Roman"/>
        </w:rPr>
        <w:t>46,1</w:t>
      </w:r>
      <w:r w:rsidRPr="00FA7F54">
        <w:rPr>
          <w:rFonts w:ascii="Times New Roman" w:hAnsi="Times New Roman" w:cs="Times New Roman"/>
        </w:rPr>
        <w:t xml:space="preserve"> mil. kuna, a u 2014. godini </w:t>
      </w:r>
      <w:r w:rsidR="000A52B8" w:rsidRPr="00FA7F54">
        <w:rPr>
          <w:rFonts w:ascii="Times New Roman" w:hAnsi="Times New Roman" w:cs="Times New Roman"/>
        </w:rPr>
        <w:t>44,5</w:t>
      </w:r>
      <w:r w:rsidRPr="00FA7F54">
        <w:rPr>
          <w:rFonts w:ascii="Times New Roman" w:hAnsi="Times New Roman" w:cs="Times New Roman"/>
        </w:rPr>
        <w:t xml:space="preserve"> mil. kuna. U državnom proračunu za 2015. godinu planirano je </w:t>
      </w:r>
      <w:r w:rsidR="000A52B8" w:rsidRPr="00FA7F54">
        <w:rPr>
          <w:rFonts w:ascii="Times New Roman" w:hAnsi="Times New Roman" w:cs="Times New Roman"/>
        </w:rPr>
        <w:t>28,2</w:t>
      </w:r>
      <w:r w:rsidRPr="00FA7F54">
        <w:rPr>
          <w:rFonts w:ascii="Times New Roman" w:hAnsi="Times New Roman" w:cs="Times New Roman"/>
        </w:rPr>
        <w:t xml:space="preserve"> mil. kuna navedenih rashoda od čega se </w:t>
      </w:r>
      <w:r w:rsidR="000A52B8" w:rsidRPr="00FA7F54">
        <w:rPr>
          <w:rFonts w:ascii="Times New Roman" w:hAnsi="Times New Roman" w:cs="Times New Roman"/>
        </w:rPr>
        <w:t>20,5</w:t>
      </w:r>
      <w:r w:rsidRPr="00FA7F54">
        <w:rPr>
          <w:rFonts w:ascii="Times New Roman" w:hAnsi="Times New Roman" w:cs="Times New Roman"/>
        </w:rPr>
        <w:t xml:space="preserve"> mil. </w:t>
      </w:r>
      <w:r w:rsidR="005A47C9">
        <w:rPr>
          <w:rFonts w:ascii="Times New Roman" w:hAnsi="Times New Roman" w:cs="Times New Roman"/>
        </w:rPr>
        <w:t xml:space="preserve">kuna </w:t>
      </w:r>
      <w:r w:rsidRPr="00FA7F54">
        <w:rPr>
          <w:rFonts w:ascii="Times New Roman" w:hAnsi="Times New Roman" w:cs="Times New Roman"/>
        </w:rPr>
        <w:t>financira iz izvora u limitu.</w:t>
      </w:r>
    </w:p>
    <w:p w:rsidR="004919F0" w:rsidRPr="00FA7F54" w:rsidRDefault="004919F0" w:rsidP="00F84DEB">
      <w:pPr>
        <w:spacing w:line="240" w:lineRule="auto"/>
        <w:jc w:val="both"/>
        <w:rPr>
          <w:rFonts w:ascii="Times New Roman" w:hAnsi="Times New Roman" w:cs="Times New Roman"/>
        </w:rPr>
      </w:pPr>
      <w:r w:rsidRPr="00FA7F54">
        <w:rPr>
          <w:rFonts w:ascii="Times New Roman" w:hAnsi="Times New Roman" w:cs="Times New Roman"/>
        </w:rPr>
        <w:t>Najveći dio rashoda odnosi se na</w:t>
      </w:r>
      <w:r w:rsidR="007003D9" w:rsidRPr="00FA7F54">
        <w:rPr>
          <w:rFonts w:ascii="Times New Roman" w:hAnsi="Times New Roman" w:cs="Times New Roman"/>
        </w:rPr>
        <w:t xml:space="preserve"> ustanove u visokom obrazovanju koji se gotovo u cijelosti financiraju iz vlastitih i namjenskih prihoda</w:t>
      </w:r>
      <w:r w:rsidR="00533F52" w:rsidRPr="00FA7F54">
        <w:rPr>
          <w:rFonts w:ascii="Times New Roman" w:hAnsi="Times New Roman" w:cs="Times New Roman"/>
        </w:rPr>
        <w:t>. Kod</w:t>
      </w:r>
      <w:r w:rsidR="007003D9" w:rsidRPr="00FA7F54">
        <w:rPr>
          <w:rFonts w:ascii="Times New Roman" w:hAnsi="Times New Roman" w:cs="Times New Roman"/>
        </w:rPr>
        <w:t xml:space="preserve"> tijela izvršne vlasti</w:t>
      </w:r>
      <w:r w:rsidR="00533F52" w:rsidRPr="00FA7F54">
        <w:rPr>
          <w:rFonts w:ascii="Times New Roman" w:hAnsi="Times New Roman" w:cs="Times New Roman"/>
        </w:rPr>
        <w:t>, ostalih državnih tijela i ustanova u zaštiti prirode</w:t>
      </w:r>
      <w:r w:rsidR="007003D9" w:rsidRPr="00FA7F54">
        <w:rPr>
          <w:rFonts w:ascii="Times New Roman" w:hAnsi="Times New Roman" w:cs="Times New Roman"/>
        </w:rPr>
        <w:t xml:space="preserve"> </w:t>
      </w:r>
      <w:r w:rsidR="00533F52" w:rsidRPr="00FA7F54">
        <w:rPr>
          <w:rFonts w:ascii="Times New Roman" w:hAnsi="Times New Roman" w:cs="Times New Roman"/>
        </w:rPr>
        <w:t>zamjetno</w:t>
      </w:r>
      <w:r w:rsidR="007003D9" w:rsidRPr="00FA7F54">
        <w:rPr>
          <w:rFonts w:ascii="Times New Roman" w:hAnsi="Times New Roman" w:cs="Times New Roman"/>
        </w:rPr>
        <w:t xml:space="preserve"> </w:t>
      </w:r>
      <w:r w:rsidR="00533F52" w:rsidRPr="00FA7F54">
        <w:rPr>
          <w:rFonts w:ascii="Times New Roman" w:hAnsi="Times New Roman" w:cs="Times New Roman"/>
        </w:rPr>
        <w:t xml:space="preserve">je </w:t>
      </w:r>
      <w:r w:rsidR="007003D9" w:rsidRPr="00FA7F54">
        <w:rPr>
          <w:rFonts w:ascii="Times New Roman" w:hAnsi="Times New Roman" w:cs="Times New Roman"/>
        </w:rPr>
        <w:t>povećanje rashoda za reprezentaciju u 2015. godini.</w:t>
      </w:r>
      <w:r w:rsidR="00F84DEB" w:rsidRPr="00FA7F54">
        <w:rPr>
          <w:rFonts w:ascii="Times New Roman" w:hAnsi="Times New Roman" w:cs="Times New Roman"/>
        </w:rPr>
        <w:t xml:space="preserve"> </w:t>
      </w:r>
      <w:r w:rsidR="001B4A45">
        <w:rPr>
          <w:rFonts w:ascii="Times New Roman" w:hAnsi="Times New Roman" w:cs="Times New Roman"/>
        </w:rPr>
        <w:t>Povećane prosječne mjesečne troškove</w:t>
      </w:r>
      <w:r w:rsidR="00F84DEB" w:rsidRPr="00FA7F54">
        <w:rPr>
          <w:rFonts w:ascii="Times New Roman" w:hAnsi="Times New Roman" w:cs="Times New Roman"/>
        </w:rPr>
        <w:t xml:space="preserve"> po zaposlenom ima</w:t>
      </w:r>
      <w:r w:rsidR="001B4A45">
        <w:rPr>
          <w:rFonts w:ascii="Times New Roman" w:hAnsi="Times New Roman" w:cs="Times New Roman"/>
        </w:rPr>
        <w:t>ju agencije, Hrvatski sabor, Ured predsjednika, a čiji se troškovi više od 50</w:t>
      </w:r>
      <w:r w:rsidR="005A47C9">
        <w:rPr>
          <w:rFonts w:ascii="Times New Roman" w:hAnsi="Times New Roman" w:cs="Times New Roman"/>
        </w:rPr>
        <w:t>%</w:t>
      </w:r>
      <w:r w:rsidR="001B4A45">
        <w:rPr>
          <w:rFonts w:ascii="Times New Roman" w:hAnsi="Times New Roman" w:cs="Times New Roman"/>
        </w:rPr>
        <w:t xml:space="preserve"> financiraju iz državnog proračuna.</w:t>
      </w:r>
    </w:p>
    <w:p w:rsidR="009835A2" w:rsidRPr="005A47C9" w:rsidRDefault="009835A2" w:rsidP="006B7B79">
      <w:pPr>
        <w:pStyle w:val="Opisslike"/>
        <w:spacing w:after="0"/>
        <w:jc w:val="both"/>
        <w:rPr>
          <w:rFonts w:ascii="Times New Roman" w:hAnsi="Times New Roman" w:cs="Times New Roman"/>
          <w:sz w:val="20"/>
          <w:szCs w:val="20"/>
        </w:rPr>
      </w:pPr>
      <w:bookmarkStart w:id="124" w:name="_Toc436402306"/>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59</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0135FE" w:rsidRPr="006B7B79">
        <w:rPr>
          <w:rFonts w:ascii="Times New Roman" w:hAnsi="Times New Roman" w:cs="Times New Roman"/>
          <w:sz w:val="20"/>
          <w:szCs w:val="20"/>
        </w:rPr>
        <w:t xml:space="preserve"> Reprezentacija prema podacima iskazanim u financijskim izvještajima proračunskih i izvanproračunskih korisnika za 2013. i 2014. godinu te planu Državnog proračuna za 2015. godinu</w:t>
      </w:r>
      <w:bookmarkEnd w:id="124"/>
    </w:p>
    <w:p w:rsidR="001933FB" w:rsidRPr="00FA7F54" w:rsidRDefault="00C2797A" w:rsidP="00C83540">
      <w:pPr>
        <w:spacing w:line="240" w:lineRule="auto"/>
        <w:rPr>
          <w:rFonts w:ascii="Times New Roman" w:hAnsi="Times New Roman" w:cs="Times New Roman"/>
        </w:rPr>
      </w:pPr>
      <w:r w:rsidRPr="00C2797A">
        <w:rPr>
          <w:noProof/>
          <w:lang w:eastAsia="hr-HR"/>
        </w:rPr>
        <w:drawing>
          <wp:inline distT="0" distB="0" distL="0" distR="0" wp14:anchorId="501D5A84" wp14:editId="11266734">
            <wp:extent cx="5760720" cy="2475738"/>
            <wp:effectExtent l="0" t="0" r="0" b="1270"/>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720" cy="2475738"/>
                    </a:xfrm>
                    <a:prstGeom prst="rect">
                      <a:avLst/>
                    </a:prstGeom>
                    <a:noFill/>
                    <a:ln>
                      <a:noFill/>
                    </a:ln>
                  </pic:spPr>
                </pic:pic>
              </a:graphicData>
            </a:graphic>
          </wp:inline>
        </w:drawing>
      </w:r>
    </w:p>
    <w:p w:rsidR="00F84DEB" w:rsidRPr="00FA7F54" w:rsidRDefault="00F84DEB" w:rsidP="00F84DEB">
      <w:pPr>
        <w:shd w:val="clear" w:color="auto" w:fill="FFFFFF"/>
        <w:spacing w:after="0" w:line="240" w:lineRule="auto"/>
        <w:ind w:firstLine="360"/>
        <w:jc w:val="both"/>
        <w:rPr>
          <w:rFonts w:ascii="Times New Roman" w:hAnsi="Times New Roman" w:cs="Times New Roman"/>
          <w:u w:val="single"/>
        </w:rPr>
      </w:pPr>
      <w:r w:rsidRPr="00FA7F54">
        <w:rPr>
          <w:rFonts w:ascii="Times New Roman" w:hAnsi="Times New Roman" w:cs="Times New Roman"/>
          <w:u w:val="single"/>
        </w:rPr>
        <w:t>Mjere za smanjenje odnosno optimizaciju rashoda:</w:t>
      </w:r>
    </w:p>
    <w:p w:rsidR="00F84DEB" w:rsidRPr="00FA7F54" w:rsidRDefault="00F84DEB" w:rsidP="00922D60">
      <w:pPr>
        <w:pStyle w:val="Odlomakpopisa"/>
        <w:numPr>
          <w:ilvl w:val="0"/>
          <w:numId w:val="15"/>
        </w:numPr>
        <w:spacing w:line="240" w:lineRule="auto"/>
        <w:jc w:val="both"/>
        <w:rPr>
          <w:rFonts w:ascii="Times New Roman" w:hAnsi="Times New Roman" w:cs="Times New Roman"/>
        </w:rPr>
      </w:pPr>
      <w:r w:rsidRPr="00FA7F54">
        <w:rPr>
          <w:rFonts w:ascii="Times New Roman" w:hAnsi="Times New Roman" w:cs="Times New Roman"/>
        </w:rPr>
        <w:t xml:space="preserve">Procjena </w:t>
      </w:r>
      <w:r w:rsidRPr="00FA7F54">
        <w:rPr>
          <w:rFonts w:ascii="Times New Roman" w:eastAsia="Times New Roman" w:hAnsi="Times New Roman"/>
          <w:lang w:eastAsia="hr-HR"/>
        </w:rPr>
        <w:t>učinkovitog i djelotvornog funkcioniranja sustava financijskog upravljanja i kontrola</w:t>
      </w:r>
      <w:r w:rsidRPr="00FA7F54">
        <w:rPr>
          <w:rFonts w:ascii="Times New Roman" w:hAnsi="Times New Roman" w:cs="Times New Roman"/>
        </w:rPr>
        <w:t xml:space="preserve">: </w:t>
      </w:r>
      <w:r w:rsidR="00CE6E2B" w:rsidRPr="00FA7F54">
        <w:rPr>
          <w:rFonts w:ascii="Times New Roman" w:hAnsi="Times New Roman" w:cs="Times New Roman"/>
        </w:rPr>
        <w:t>Prosječni mjesečni trošak po zaposlenom</w:t>
      </w:r>
      <w:r w:rsidRPr="00FA7F54">
        <w:rPr>
          <w:rFonts w:ascii="Times New Roman" w:hAnsi="Times New Roman" w:cs="Times New Roman"/>
        </w:rPr>
        <w:t>.</w:t>
      </w:r>
    </w:p>
    <w:p w:rsidR="00A90B58" w:rsidRPr="00FA7F54" w:rsidRDefault="00F37763" w:rsidP="00A90B58">
      <w:pPr>
        <w:pStyle w:val="Naslov2"/>
        <w:rPr>
          <w:rFonts w:ascii="Times New Roman" w:hAnsi="Times New Roman" w:cs="Times New Roman"/>
          <w:color w:val="auto"/>
          <w:sz w:val="22"/>
          <w:szCs w:val="22"/>
        </w:rPr>
      </w:pPr>
      <w:bookmarkStart w:id="125" w:name="_Toc434411202"/>
      <w:bookmarkStart w:id="126" w:name="_Toc436402345"/>
      <w:r w:rsidRPr="00FA7F54">
        <w:rPr>
          <w:rFonts w:ascii="Times New Roman" w:hAnsi="Times New Roman" w:cs="Times New Roman"/>
          <w:color w:val="auto"/>
          <w:sz w:val="22"/>
          <w:szCs w:val="22"/>
        </w:rPr>
        <w:t>ČLANARINE I NORME</w:t>
      </w:r>
      <w:r w:rsidR="00A90B58" w:rsidRPr="00FA7F54">
        <w:rPr>
          <w:rFonts w:ascii="Times New Roman" w:hAnsi="Times New Roman" w:cs="Times New Roman"/>
          <w:color w:val="auto"/>
          <w:sz w:val="22"/>
          <w:szCs w:val="22"/>
        </w:rPr>
        <w:t xml:space="preserve"> (329</w:t>
      </w:r>
      <w:r w:rsidRPr="00FA7F54">
        <w:rPr>
          <w:rFonts w:ascii="Times New Roman" w:hAnsi="Times New Roman" w:cs="Times New Roman"/>
          <w:color w:val="auto"/>
          <w:sz w:val="22"/>
          <w:szCs w:val="22"/>
        </w:rPr>
        <w:t>4</w:t>
      </w:r>
      <w:r w:rsidR="00A90B58" w:rsidRPr="00FA7F54">
        <w:rPr>
          <w:rFonts w:ascii="Times New Roman" w:hAnsi="Times New Roman" w:cs="Times New Roman"/>
          <w:color w:val="auto"/>
          <w:sz w:val="22"/>
          <w:szCs w:val="22"/>
        </w:rPr>
        <w:t>)</w:t>
      </w:r>
      <w:bookmarkEnd w:id="125"/>
      <w:bookmarkEnd w:id="126"/>
    </w:p>
    <w:p w:rsidR="00A90B58" w:rsidRPr="00FA7F54" w:rsidRDefault="00A90B58" w:rsidP="00A90B58">
      <w:pPr>
        <w:spacing w:line="240" w:lineRule="auto"/>
        <w:jc w:val="both"/>
        <w:rPr>
          <w:rFonts w:ascii="Times New Roman" w:hAnsi="Times New Roman" w:cs="Times New Roman"/>
        </w:rPr>
      </w:pPr>
      <w:r w:rsidRPr="00FA7F54">
        <w:rPr>
          <w:rFonts w:ascii="Times New Roman" w:hAnsi="Times New Roman" w:cs="Times New Roman"/>
        </w:rPr>
        <w:t xml:space="preserve">Prema iskazanim podacima u financijskim izvještajima rashodi za </w:t>
      </w:r>
      <w:r w:rsidR="00F37763" w:rsidRPr="00FA7F54">
        <w:rPr>
          <w:rFonts w:ascii="Times New Roman" w:hAnsi="Times New Roman" w:cs="Times New Roman"/>
        </w:rPr>
        <w:t>članarine i norme</w:t>
      </w:r>
      <w:r w:rsidRPr="00FA7F54">
        <w:rPr>
          <w:rFonts w:ascii="Times New Roman" w:hAnsi="Times New Roman" w:cs="Times New Roman"/>
        </w:rPr>
        <w:t xml:space="preserve"> u 2013. godini iznosili su </w:t>
      </w:r>
      <w:r w:rsidR="00F37763" w:rsidRPr="00FA7F54">
        <w:rPr>
          <w:rFonts w:ascii="Times New Roman" w:hAnsi="Times New Roman" w:cs="Times New Roman"/>
        </w:rPr>
        <w:t>256,4</w:t>
      </w:r>
      <w:r w:rsidRPr="00FA7F54">
        <w:rPr>
          <w:rFonts w:ascii="Times New Roman" w:hAnsi="Times New Roman" w:cs="Times New Roman"/>
        </w:rPr>
        <w:t xml:space="preserve"> mil. kuna, a u 2014. godini </w:t>
      </w:r>
      <w:r w:rsidR="00F37763" w:rsidRPr="00FA7F54">
        <w:rPr>
          <w:rFonts w:ascii="Times New Roman" w:hAnsi="Times New Roman" w:cs="Times New Roman"/>
        </w:rPr>
        <w:t>15</w:t>
      </w:r>
      <w:r w:rsidR="005A47C9">
        <w:rPr>
          <w:rFonts w:ascii="Times New Roman" w:hAnsi="Times New Roman" w:cs="Times New Roman"/>
        </w:rPr>
        <w:t>1,0</w:t>
      </w:r>
      <w:r w:rsidRPr="00FA7F54">
        <w:rPr>
          <w:rFonts w:ascii="Times New Roman" w:hAnsi="Times New Roman" w:cs="Times New Roman"/>
        </w:rPr>
        <w:t xml:space="preserve"> mil. kuna. U državnom proračunu za 2015. godinu planirano je </w:t>
      </w:r>
      <w:r w:rsidR="00F37763" w:rsidRPr="00FA7F54">
        <w:rPr>
          <w:rFonts w:ascii="Times New Roman" w:hAnsi="Times New Roman" w:cs="Times New Roman"/>
        </w:rPr>
        <w:t>127</w:t>
      </w:r>
      <w:r w:rsidRPr="00FA7F54">
        <w:rPr>
          <w:rFonts w:ascii="Times New Roman" w:hAnsi="Times New Roman" w:cs="Times New Roman"/>
        </w:rPr>
        <w:t xml:space="preserve">,2 mil. kuna navedenih rashoda od čega se </w:t>
      </w:r>
      <w:r w:rsidR="00F37763" w:rsidRPr="00FA7F54">
        <w:rPr>
          <w:rFonts w:ascii="Times New Roman" w:hAnsi="Times New Roman" w:cs="Times New Roman"/>
        </w:rPr>
        <w:t>126,1</w:t>
      </w:r>
      <w:r w:rsidRPr="00FA7F54">
        <w:rPr>
          <w:rFonts w:ascii="Times New Roman" w:hAnsi="Times New Roman" w:cs="Times New Roman"/>
        </w:rPr>
        <w:t xml:space="preserve"> mil. </w:t>
      </w:r>
      <w:r w:rsidR="005A47C9">
        <w:rPr>
          <w:rFonts w:ascii="Times New Roman" w:hAnsi="Times New Roman" w:cs="Times New Roman"/>
        </w:rPr>
        <w:t xml:space="preserve">kuna </w:t>
      </w:r>
      <w:r w:rsidRPr="00FA7F54">
        <w:rPr>
          <w:rFonts w:ascii="Times New Roman" w:hAnsi="Times New Roman" w:cs="Times New Roman"/>
        </w:rPr>
        <w:t>financira iz izvora u limitu.</w:t>
      </w:r>
    </w:p>
    <w:p w:rsidR="00A90B58" w:rsidRPr="00FA7F54" w:rsidRDefault="00A90B58" w:rsidP="00A90B58">
      <w:pPr>
        <w:spacing w:line="240" w:lineRule="auto"/>
        <w:jc w:val="both"/>
        <w:rPr>
          <w:rFonts w:ascii="Times New Roman" w:hAnsi="Times New Roman" w:cs="Times New Roman"/>
        </w:rPr>
      </w:pPr>
      <w:r w:rsidRPr="00FA7F54">
        <w:rPr>
          <w:rFonts w:ascii="Times New Roman" w:hAnsi="Times New Roman" w:cs="Times New Roman"/>
        </w:rPr>
        <w:t>Najveći dio rashoda odnosi se na tijela izvršne vlasti</w:t>
      </w:r>
      <w:r w:rsidR="006B4BC0" w:rsidRPr="00FA7F54">
        <w:rPr>
          <w:rFonts w:ascii="Times New Roman" w:hAnsi="Times New Roman" w:cs="Times New Roman"/>
        </w:rPr>
        <w:t xml:space="preserve"> i ostala državna</w:t>
      </w:r>
      <w:r w:rsidRPr="00FA7F54">
        <w:rPr>
          <w:rFonts w:ascii="Times New Roman" w:hAnsi="Times New Roman" w:cs="Times New Roman"/>
        </w:rPr>
        <w:t xml:space="preserve"> tijela.</w:t>
      </w:r>
    </w:p>
    <w:p w:rsidR="00F84DEB" w:rsidRPr="00E65864" w:rsidRDefault="009835A2" w:rsidP="00E65864">
      <w:pPr>
        <w:pStyle w:val="Opisslike"/>
        <w:spacing w:after="0"/>
        <w:rPr>
          <w:rFonts w:ascii="Times New Roman" w:hAnsi="Times New Roman" w:cs="Times New Roman"/>
          <w:sz w:val="20"/>
          <w:szCs w:val="20"/>
        </w:rPr>
      </w:pPr>
      <w:bookmarkStart w:id="127" w:name="_Toc436402307"/>
      <w:r w:rsidRPr="00E65864">
        <w:rPr>
          <w:sz w:val="20"/>
          <w:szCs w:val="20"/>
        </w:rPr>
        <w:t xml:space="preserve">Tabela </w:t>
      </w:r>
      <w:r w:rsidR="002D0343" w:rsidRPr="00E65864">
        <w:rPr>
          <w:sz w:val="20"/>
          <w:szCs w:val="20"/>
        </w:rPr>
        <w:fldChar w:fldCharType="begin"/>
      </w:r>
      <w:r w:rsidRPr="00E65864">
        <w:rPr>
          <w:sz w:val="20"/>
          <w:szCs w:val="20"/>
        </w:rPr>
        <w:instrText xml:space="preserve"> SEQ Tabela \* ARABIC </w:instrText>
      </w:r>
      <w:r w:rsidR="002D0343" w:rsidRPr="00E65864">
        <w:rPr>
          <w:sz w:val="20"/>
          <w:szCs w:val="20"/>
        </w:rPr>
        <w:fldChar w:fldCharType="separate"/>
      </w:r>
      <w:r w:rsidR="00F50808">
        <w:rPr>
          <w:noProof/>
          <w:sz w:val="20"/>
          <w:szCs w:val="20"/>
        </w:rPr>
        <w:t>60</w:t>
      </w:r>
      <w:r w:rsidR="002D0343" w:rsidRPr="00E65864">
        <w:rPr>
          <w:sz w:val="20"/>
          <w:szCs w:val="20"/>
        </w:rPr>
        <w:fldChar w:fldCharType="end"/>
      </w:r>
      <w:r w:rsidRPr="00E65864">
        <w:rPr>
          <w:sz w:val="20"/>
          <w:szCs w:val="20"/>
        </w:rPr>
        <w:t>:</w:t>
      </w:r>
      <w:r w:rsidR="00E65864" w:rsidRPr="00E65864">
        <w:rPr>
          <w:sz w:val="20"/>
          <w:szCs w:val="20"/>
        </w:rPr>
        <w:t xml:space="preserve"> Članarine i norme prema podacima iskazanim u financijskim izvještajima proračunskih i izvanproračunskih korisnika za 2013. i 2014. godinu te planu Državnog proračuna za 2015. godinu</w:t>
      </w:r>
      <w:bookmarkEnd w:id="127"/>
    </w:p>
    <w:p w:rsidR="00F84DEB" w:rsidRPr="00FA7F54" w:rsidRDefault="008675E5" w:rsidP="00C83540">
      <w:pPr>
        <w:spacing w:line="240" w:lineRule="auto"/>
        <w:rPr>
          <w:rFonts w:ascii="Times New Roman" w:hAnsi="Times New Roman" w:cs="Times New Roman"/>
        </w:rPr>
      </w:pPr>
      <w:r w:rsidRPr="008675E5">
        <w:rPr>
          <w:noProof/>
          <w:lang w:eastAsia="hr-HR"/>
        </w:rPr>
        <w:drawing>
          <wp:inline distT="0" distB="0" distL="0" distR="0" wp14:anchorId="0951E2ED" wp14:editId="257B57F2">
            <wp:extent cx="3933825" cy="2182679"/>
            <wp:effectExtent l="0" t="0" r="0" b="8255"/>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48337" cy="2190731"/>
                    </a:xfrm>
                    <a:prstGeom prst="rect">
                      <a:avLst/>
                    </a:prstGeom>
                    <a:noFill/>
                    <a:ln>
                      <a:noFill/>
                    </a:ln>
                  </pic:spPr>
                </pic:pic>
              </a:graphicData>
            </a:graphic>
          </wp:inline>
        </w:drawing>
      </w:r>
    </w:p>
    <w:p w:rsidR="00F50F17" w:rsidRPr="00FA7F54" w:rsidRDefault="00F50F17" w:rsidP="00C83540">
      <w:pPr>
        <w:spacing w:line="240" w:lineRule="auto"/>
        <w:rPr>
          <w:rFonts w:ascii="Times New Roman" w:hAnsi="Times New Roman" w:cs="Times New Roman"/>
        </w:rPr>
      </w:pPr>
      <w:r w:rsidRPr="00FA7F54">
        <w:rPr>
          <w:rFonts w:ascii="Times New Roman" w:hAnsi="Times New Roman" w:cs="Times New Roman"/>
        </w:rPr>
        <w:lastRenderedPageBreak/>
        <w:t>Najveći dio rashoda</w:t>
      </w:r>
      <w:r w:rsidR="00B91BF1" w:rsidRPr="00FA7F54">
        <w:rPr>
          <w:rFonts w:ascii="Times New Roman" w:hAnsi="Times New Roman" w:cs="Times New Roman"/>
        </w:rPr>
        <w:t xml:space="preserve"> financira se iz izvora u limitu i</w:t>
      </w:r>
      <w:r w:rsidRPr="00FA7F54">
        <w:rPr>
          <w:rFonts w:ascii="Times New Roman" w:hAnsi="Times New Roman" w:cs="Times New Roman"/>
        </w:rPr>
        <w:t xml:space="preserve"> odnosi se na međunarodne članarine.</w:t>
      </w:r>
    </w:p>
    <w:p w:rsidR="009835A2" w:rsidRPr="005A47C9" w:rsidRDefault="009835A2" w:rsidP="006B7B79">
      <w:pPr>
        <w:pStyle w:val="Opisslike"/>
        <w:spacing w:after="0"/>
        <w:jc w:val="both"/>
        <w:rPr>
          <w:rFonts w:ascii="Times New Roman" w:hAnsi="Times New Roman" w:cs="Times New Roman"/>
          <w:sz w:val="22"/>
          <w:szCs w:val="22"/>
        </w:rPr>
      </w:pPr>
      <w:bookmarkStart w:id="128" w:name="_Toc436402308"/>
      <w:r w:rsidRPr="006B7B79">
        <w:rPr>
          <w:rFonts w:ascii="Times New Roman" w:hAnsi="Times New Roman" w:cs="Times New Roman"/>
          <w:sz w:val="22"/>
          <w:szCs w:val="22"/>
        </w:rPr>
        <w:t xml:space="preserve">Tabela </w:t>
      </w:r>
      <w:r w:rsidR="002D0343" w:rsidRPr="006B7B79">
        <w:rPr>
          <w:rFonts w:ascii="Times New Roman" w:hAnsi="Times New Roman" w:cs="Times New Roman"/>
          <w:sz w:val="22"/>
          <w:szCs w:val="22"/>
        </w:rPr>
        <w:fldChar w:fldCharType="begin"/>
      </w:r>
      <w:r w:rsidRPr="006B7B79">
        <w:rPr>
          <w:rFonts w:ascii="Times New Roman" w:hAnsi="Times New Roman" w:cs="Times New Roman"/>
          <w:sz w:val="22"/>
          <w:szCs w:val="22"/>
        </w:rPr>
        <w:instrText xml:space="preserve"> SEQ Tabela \* ARABIC </w:instrText>
      </w:r>
      <w:r w:rsidR="002D0343" w:rsidRPr="006B7B79">
        <w:rPr>
          <w:rFonts w:ascii="Times New Roman" w:hAnsi="Times New Roman" w:cs="Times New Roman"/>
          <w:sz w:val="22"/>
          <w:szCs w:val="22"/>
        </w:rPr>
        <w:fldChar w:fldCharType="separate"/>
      </w:r>
      <w:r w:rsidR="00F50808">
        <w:rPr>
          <w:rFonts w:ascii="Times New Roman" w:hAnsi="Times New Roman" w:cs="Times New Roman"/>
          <w:noProof/>
          <w:sz w:val="22"/>
          <w:szCs w:val="22"/>
        </w:rPr>
        <w:t>61</w:t>
      </w:r>
      <w:r w:rsidR="002D0343" w:rsidRPr="006B7B79">
        <w:rPr>
          <w:rFonts w:ascii="Times New Roman" w:hAnsi="Times New Roman" w:cs="Times New Roman"/>
          <w:sz w:val="22"/>
          <w:szCs w:val="22"/>
        </w:rPr>
        <w:fldChar w:fldCharType="end"/>
      </w:r>
      <w:r w:rsidR="00E65864" w:rsidRPr="006B7B79">
        <w:rPr>
          <w:rFonts w:ascii="Times New Roman" w:hAnsi="Times New Roman" w:cs="Times New Roman"/>
          <w:sz w:val="22"/>
          <w:szCs w:val="22"/>
        </w:rPr>
        <w:t xml:space="preserve">: </w:t>
      </w:r>
      <w:r w:rsidR="00E65864" w:rsidRPr="006B7B79">
        <w:rPr>
          <w:rFonts w:ascii="Times New Roman" w:hAnsi="Times New Roman" w:cs="Times New Roman"/>
          <w:sz w:val="20"/>
          <w:szCs w:val="20"/>
        </w:rPr>
        <w:t>Članarine i norme prema podacima iskazanim u državnom proračunu – izvršenje za 2014. (u mil.</w:t>
      </w:r>
      <w:r w:rsidR="005A47C9">
        <w:rPr>
          <w:rFonts w:ascii="Times New Roman" w:hAnsi="Times New Roman" w:cs="Times New Roman"/>
          <w:sz w:val="20"/>
          <w:szCs w:val="20"/>
        </w:rPr>
        <w:t xml:space="preserve"> kuna</w:t>
      </w:r>
      <w:r w:rsidR="00E65864" w:rsidRPr="006B7B79">
        <w:rPr>
          <w:rFonts w:ascii="Times New Roman" w:hAnsi="Times New Roman" w:cs="Times New Roman"/>
          <w:sz w:val="20"/>
          <w:szCs w:val="20"/>
        </w:rPr>
        <w:t>)</w:t>
      </w:r>
      <w:bookmarkEnd w:id="128"/>
    </w:p>
    <w:tbl>
      <w:tblPr>
        <w:tblW w:w="4486" w:type="dxa"/>
        <w:jc w:val="center"/>
        <w:tblInd w:w="93" w:type="dxa"/>
        <w:tblLook w:val="04A0" w:firstRow="1" w:lastRow="0" w:firstColumn="1" w:lastColumn="0" w:noHBand="0" w:noVBand="1"/>
      </w:tblPr>
      <w:tblGrid>
        <w:gridCol w:w="1345"/>
        <w:gridCol w:w="997"/>
        <w:gridCol w:w="940"/>
        <w:gridCol w:w="1204"/>
      </w:tblGrid>
      <w:tr w:rsidR="00FE5775" w:rsidRPr="00E65864" w:rsidTr="005A47C9">
        <w:trPr>
          <w:trHeight w:val="538"/>
          <w:jc w:val="center"/>
        </w:trPr>
        <w:tc>
          <w:tcPr>
            <w:tcW w:w="1345"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FE5775" w:rsidRPr="00E65864" w:rsidRDefault="00FE5775" w:rsidP="005A47C9">
            <w:pPr>
              <w:spacing w:after="0" w:line="240" w:lineRule="auto"/>
              <w:jc w:val="center"/>
              <w:rPr>
                <w:rFonts w:ascii="Arial" w:eastAsia="Times New Roman" w:hAnsi="Arial" w:cs="Arial"/>
                <w:b/>
                <w:bCs/>
                <w:sz w:val="16"/>
                <w:szCs w:val="16"/>
                <w:lang w:eastAsia="hr-HR"/>
              </w:rPr>
            </w:pPr>
            <w:r w:rsidRPr="00E65864">
              <w:rPr>
                <w:rFonts w:ascii="Arial" w:eastAsia="Times New Roman" w:hAnsi="Arial" w:cs="Arial"/>
                <w:b/>
                <w:bCs/>
                <w:sz w:val="16"/>
                <w:szCs w:val="16"/>
                <w:lang w:eastAsia="hr-HR"/>
              </w:rPr>
              <w:t>Izvršenje 2014.</w:t>
            </w:r>
          </w:p>
        </w:tc>
        <w:tc>
          <w:tcPr>
            <w:tcW w:w="997" w:type="dxa"/>
            <w:tcBorders>
              <w:top w:val="single" w:sz="4" w:space="0" w:color="000080"/>
              <w:left w:val="nil"/>
              <w:bottom w:val="single" w:sz="4" w:space="0" w:color="000080"/>
              <w:right w:val="single" w:sz="4" w:space="0" w:color="000080"/>
            </w:tcBorders>
            <w:shd w:val="clear" w:color="000000" w:fill="DCE6F1"/>
            <w:vAlign w:val="center"/>
            <w:hideMark/>
          </w:tcPr>
          <w:p w:rsidR="00FE5775" w:rsidRPr="00E65864" w:rsidRDefault="00FE5775" w:rsidP="005A47C9">
            <w:pPr>
              <w:spacing w:after="0" w:line="240" w:lineRule="auto"/>
              <w:jc w:val="center"/>
              <w:rPr>
                <w:rFonts w:ascii="Arial" w:eastAsia="Times New Roman" w:hAnsi="Arial" w:cs="Arial"/>
                <w:b/>
                <w:color w:val="000000"/>
                <w:sz w:val="16"/>
                <w:szCs w:val="16"/>
                <w:lang w:eastAsia="hr-HR"/>
              </w:rPr>
            </w:pPr>
            <w:r w:rsidRPr="00E65864">
              <w:rPr>
                <w:rFonts w:ascii="Arial" w:eastAsia="Times New Roman" w:hAnsi="Arial" w:cs="Arial"/>
                <w:b/>
                <w:color w:val="000000"/>
                <w:sz w:val="16"/>
                <w:szCs w:val="16"/>
                <w:lang w:eastAsia="hr-HR"/>
              </w:rPr>
              <w:t>Članarine i norme</w:t>
            </w:r>
          </w:p>
        </w:tc>
        <w:tc>
          <w:tcPr>
            <w:tcW w:w="940" w:type="dxa"/>
            <w:tcBorders>
              <w:top w:val="single" w:sz="4" w:space="0" w:color="000080"/>
              <w:left w:val="nil"/>
              <w:bottom w:val="single" w:sz="4" w:space="0" w:color="000080"/>
              <w:right w:val="single" w:sz="4" w:space="0" w:color="000080"/>
            </w:tcBorders>
            <w:shd w:val="clear" w:color="000000" w:fill="DCE6F1"/>
            <w:vAlign w:val="center"/>
            <w:hideMark/>
          </w:tcPr>
          <w:p w:rsidR="00FE5775" w:rsidRPr="00E65864" w:rsidRDefault="00FE5775" w:rsidP="005A47C9">
            <w:pPr>
              <w:spacing w:after="0" w:line="240" w:lineRule="auto"/>
              <w:jc w:val="center"/>
              <w:rPr>
                <w:rFonts w:ascii="Arial" w:eastAsia="Times New Roman" w:hAnsi="Arial" w:cs="Arial"/>
                <w:color w:val="000000"/>
                <w:sz w:val="16"/>
                <w:szCs w:val="16"/>
                <w:lang w:eastAsia="hr-HR"/>
              </w:rPr>
            </w:pPr>
            <w:r w:rsidRPr="00E65864">
              <w:rPr>
                <w:rFonts w:ascii="Arial" w:eastAsia="Times New Roman" w:hAnsi="Arial" w:cs="Arial"/>
                <w:color w:val="000000"/>
                <w:sz w:val="16"/>
                <w:szCs w:val="16"/>
                <w:lang w:eastAsia="hr-HR"/>
              </w:rPr>
              <w:t>Tuzemne članarine</w:t>
            </w:r>
          </w:p>
        </w:tc>
        <w:tc>
          <w:tcPr>
            <w:tcW w:w="1204" w:type="dxa"/>
            <w:tcBorders>
              <w:top w:val="single" w:sz="4" w:space="0" w:color="000080"/>
              <w:left w:val="nil"/>
              <w:bottom w:val="single" w:sz="4" w:space="0" w:color="000080"/>
              <w:right w:val="single" w:sz="4" w:space="0" w:color="000080"/>
            </w:tcBorders>
            <w:shd w:val="clear" w:color="000000" w:fill="DCE6F1"/>
            <w:vAlign w:val="center"/>
            <w:hideMark/>
          </w:tcPr>
          <w:p w:rsidR="00FE5775" w:rsidRPr="00E65864" w:rsidRDefault="00FE5775" w:rsidP="005A47C9">
            <w:pPr>
              <w:spacing w:after="0" w:line="240" w:lineRule="auto"/>
              <w:jc w:val="center"/>
              <w:rPr>
                <w:rFonts w:ascii="Arial" w:eastAsia="Times New Roman" w:hAnsi="Arial" w:cs="Arial"/>
                <w:color w:val="000000"/>
                <w:sz w:val="16"/>
                <w:szCs w:val="16"/>
                <w:lang w:eastAsia="hr-HR"/>
              </w:rPr>
            </w:pPr>
            <w:r w:rsidRPr="00E65864">
              <w:rPr>
                <w:rFonts w:ascii="Arial" w:eastAsia="Times New Roman" w:hAnsi="Arial" w:cs="Arial"/>
                <w:color w:val="000000"/>
                <w:sz w:val="16"/>
                <w:szCs w:val="16"/>
                <w:lang w:eastAsia="hr-HR"/>
              </w:rPr>
              <w:t>Međunarodne članarine</w:t>
            </w:r>
          </w:p>
        </w:tc>
      </w:tr>
      <w:tr w:rsidR="00FE5775" w:rsidRPr="00E65864" w:rsidTr="005A47C9">
        <w:trPr>
          <w:trHeight w:val="300"/>
          <w:jc w:val="center"/>
        </w:trPr>
        <w:tc>
          <w:tcPr>
            <w:tcW w:w="1345" w:type="dxa"/>
            <w:tcBorders>
              <w:top w:val="nil"/>
              <w:left w:val="single" w:sz="4" w:space="0" w:color="000080"/>
              <w:bottom w:val="single" w:sz="4" w:space="0" w:color="000080"/>
              <w:right w:val="single" w:sz="4" w:space="0" w:color="000080"/>
            </w:tcBorders>
            <w:shd w:val="clear" w:color="000000" w:fill="DCE6F1"/>
            <w:noWrap/>
            <w:vAlign w:val="center"/>
            <w:hideMark/>
          </w:tcPr>
          <w:p w:rsidR="00FE5775" w:rsidRPr="00E65864" w:rsidRDefault="00FE5775" w:rsidP="00E65864">
            <w:pPr>
              <w:spacing w:after="0" w:line="240" w:lineRule="auto"/>
              <w:ind w:firstLineChars="200" w:firstLine="320"/>
              <w:rPr>
                <w:rFonts w:ascii="Arial" w:eastAsia="Times New Roman" w:hAnsi="Arial" w:cs="Arial"/>
                <w:sz w:val="16"/>
                <w:szCs w:val="16"/>
                <w:lang w:eastAsia="hr-HR"/>
              </w:rPr>
            </w:pPr>
            <w:r w:rsidRPr="00E65864">
              <w:rPr>
                <w:rFonts w:ascii="Arial" w:eastAsia="Times New Roman" w:hAnsi="Arial" w:cs="Arial"/>
                <w:sz w:val="16"/>
                <w:szCs w:val="16"/>
                <w:lang w:eastAsia="hr-HR"/>
              </w:rPr>
              <w:t>- Ukupno</w:t>
            </w:r>
          </w:p>
        </w:tc>
        <w:tc>
          <w:tcPr>
            <w:tcW w:w="997" w:type="dxa"/>
            <w:tcBorders>
              <w:top w:val="nil"/>
              <w:left w:val="nil"/>
              <w:bottom w:val="single" w:sz="4" w:space="0" w:color="000080"/>
              <w:right w:val="single" w:sz="4" w:space="0" w:color="000080"/>
            </w:tcBorders>
            <w:shd w:val="clear" w:color="000000" w:fill="DCE6F1"/>
            <w:noWrap/>
            <w:vAlign w:val="center"/>
            <w:hideMark/>
          </w:tcPr>
          <w:p w:rsidR="00FE5775" w:rsidRPr="00E65864" w:rsidRDefault="00FE5775" w:rsidP="00FE5775">
            <w:pPr>
              <w:spacing w:after="0" w:line="240" w:lineRule="auto"/>
              <w:jc w:val="right"/>
              <w:rPr>
                <w:rFonts w:ascii="Arial" w:eastAsia="Times New Roman" w:hAnsi="Arial" w:cs="Arial"/>
                <w:b/>
                <w:bCs/>
                <w:color w:val="000000"/>
                <w:sz w:val="16"/>
                <w:szCs w:val="16"/>
                <w:lang w:eastAsia="hr-HR"/>
              </w:rPr>
            </w:pPr>
            <w:r w:rsidRPr="00E65864">
              <w:rPr>
                <w:rFonts w:ascii="Arial" w:eastAsia="Times New Roman" w:hAnsi="Arial" w:cs="Arial"/>
                <w:b/>
                <w:bCs/>
                <w:color w:val="000000"/>
                <w:sz w:val="16"/>
                <w:szCs w:val="16"/>
                <w:lang w:eastAsia="hr-HR"/>
              </w:rPr>
              <w:t>145,844</w:t>
            </w:r>
          </w:p>
        </w:tc>
        <w:tc>
          <w:tcPr>
            <w:tcW w:w="940" w:type="dxa"/>
            <w:tcBorders>
              <w:top w:val="nil"/>
              <w:left w:val="nil"/>
              <w:bottom w:val="single" w:sz="4" w:space="0" w:color="000080"/>
              <w:right w:val="single" w:sz="4" w:space="0" w:color="000080"/>
            </w:tcBorders>
            <w:shd w:val="clear" w:color="000000" w:fill="DCE6F1"/>
            <w:noWrap/>
            <w:vAlign w:val="center"/>
            <w:hideMark/>
          </w:tcPr>
          <w:p w:rsidR="00FE5775" w:rsidRPr="00E65864" w:rsidRDefault="00FE5775" w:rsidP="00FE5775">
            <w:pPr>
              <w:spacing w:after="0" w:line="240" w:lineRule="auto"/>
              <w:jc w:val="right"/>
              <w:rPr>
                <w:rFonts w:ascii="Arial" w:eastAsia="Times New Roman" w:hAnsi="Arial" w:cs="Arial"/>
                <w:bCs/>
                <w:color w:val="000000"/>
                <w:sz w:val="16"/>
                <w:szCs w:val="16"/>
                <w:lang w:eastAsia="hr-HR"/>
              </w:rPr>
            </w:pPr>
            <w:r w:rsidRPr="00E65864">
              <w:rPr>
                <w:rFonts w:ascii="Arial" w:eastAsia="Times New Roman" w:hAnsi="Arial" w:cs="Arial"/>
                <w:bCs/>
                <w:color w:val="000000"/>
                <w:sz w:val="16"/>
                <w:szCs w:val="16"/>
                <w:lang w:eastAsia="hr-HR"/>
              </w:rPr>
              <w:t>1,616</w:t>
            </w:r>
          </w:p>
        </w:tc>
        <w:tc>
          <w:tcPr>
            <w:tcW w:w="1204" w:type="dxa"/>
            <w:tcBorders>
              <w:top w:val="nil"/>
              <w:left w:val="nil"/>
              <w:bottom w:val="single" w:sz="4" w:space="0" w:color="000080"/>
              <w:right w:val="single" w:sz="4" w:space="0" w:color="000080"/>
            </w:tcBorders>
            <w:shd w:val="clear" w:color="000000" w:fill="DCE6F1"/>
            <w:noWrap/>
            <w:vAlign w:val="center"/>
            <w:hideMark/>
          </w:tcPr>
          <w:p w:rsidR="00FE5775" w:rsidRPr="00E65864" w:rsidRDefault="00FE5775" w:rsidP="00FE5775">
            <w:pPr>
              <w:spacing w:after="0" w:line="240" w:lineRule="auto"/>
              <w:jc w:val="right"/>
              <w:rPr>
                <w:rFonts w:ascii="Arial" w:eastAsia="Times New Roman" w:hAnsi="Arial" w:cs="Arial"/>
                <w:bCs/>
                <w:color w:val="000000"/>
                <w:sz w:val="16"/>
                <w:szCs w:val="16"/>
                <w:lang w:eastAsia="hr-HR"/>
              </w:rPr>
            </w:pPr>
            <w:r w:rsidRPr="00E65864">
              <w:rPr>
                <w:rFonts w:ascii="Arial" w:eastAsia="Times New Roman" w:hAnsi="Arial" w:cs="Arial"/>
                <w:bCs/>
                <w:color w:val="000000"/>
                <w:sz w:val="16"/>
                <w:szCs w:val="16"/>
                <w:lang w:eastAsia="hr-HR"/>
              </w:rPr>
              <w:t>144,228</w:t>
            </w:r>
          </w:p>
        </w:tc>
      </w:tr>
      <w:tr w:rsidR="00FE5775" w:rsidRPr="00E65864" w:rsidTr="005A47C9">
        <w:trPr>
          <w:trHeight w:val="300"/>
          <w:jc w:val="center"/>
        </w:trPr>
        <w:tc>
          <w:tcPr>
            <w:tcW w:w="1345" w:type="dxa"/>
            <w:tcBorders>
              <w:top w:val="nil"/>
              <w:left w:val="single" w:sz="4" w:space="0" w:color="000080"/>
              <w:bottom w:val="single" w:sz="4" w:space="0" w:color="000080"/>
              <w:right w:val="single" w:sz="4" w:space="0" w:color="000080"/>
            </w:tcBorders>
            <w:shd w:val="clear" w:color="auto" w:fill="auto"/>
            <w:noWrap/>
            <w:vAlign w:val="center"/>
            <w:hideMark/>
          </w:tcPr>
          <w:p w:rsidR="00FE5775" w:rsidRPr="00E65864" w:rsidRDefault="00FE5775" w:rsidP="00E65864">
            <w:pPr>
              <w:spacing w:after="0" w:line="240" w:lineRule="auto"/>
              <w:ind w:firstLineChars="200" w:firstLine="320"/>
              <w:rPr>
                <w:rFonts w:ascii="Arial" w:eastAsia="Times New Roman" w:hAnsi="Arial" w:cs="Arial"/>
                <w:sz w:val="16"/>
                <w:szCs w:val="16"/>
                <w:lang w:eastAsia="hr-HR"/>
              </w:rPr>
            </w:pPr>
            <w:r w:rsidRPr="00E65864">
              <w:rPr>
                <w:rFonts w:ascii="Arial" w:eastAsia="Times New Roman" w:hAnsi="Arial" w:cs="Arial"/>
                <w:sz w:val="16"/>
                <w:szCs w:val="16"/>
                <w:lang w:eastAsia="hr-HR"/>
              </w:rPr>
              <w:t>- 1+2+8</w:t>
            </w:r>
          </w:p>
        </w:tc>
        <w:tc>
          <w:tcPr>
            <w:tcW w:w="997" w:type="dxa"/>
            <w:tcBorders>
              <w:top w:val="nil"/>
              <w:left w:val="nil"/>
              <w:bottom w:val="single" w:sz="4" w:space="0" w:color="000080"/>
              <w:right w:val="single" w:sz="4" w:space="0" w:color="000080"/>
            </w:tcBorders>
            <w:shd w:val="clear" w:color="auto" w:fill="auto"/>
            <w:noWrap/>
            <w:vAlign w:val="center"/>
            <w:hideMark/>
          </w:tcPr>
          <w:p w:rsidR="00FE5775" w:rsidRPr="00E65864" w:rsidRDefault="00FE5775" w:rsidP="00FE5775">
            <w:pPr>
              <w:spacing w:after="0" w:line="240" w:lineRule="auto"/>
              <w:jc w:val="right"/>
              <w:rPr>
                <w:rFonts w:ascii="Arial" w:eastAsia="Times New Roman" w:hAnsi="Arial" w:cs="Arial"/>
                <w:b/>
                <w:bCs/>
                <w:color w:val="000000"/>
                <w:sz w:val="16"/>
                <w:szCs w:val="16"/>
                <w:lang w:eastAsia="hr-HR"/>
              </w:rPr>
            </w:pPr>
            <w:r w:rsidRPr="00E65864">
              <w:rPr>
                <w:rFonts w:ascii="Arial" w:eastAsia="Times New Roman" w:hAnsi="Arial" w:cs="Arial"/>
                <w:b/>
                <w:bCs/>
                <w:color w:val="000000"/>
                <w:sz w:val="16"/>
                <w:szCs w:val="16"/>
                <w:lang w:eastAsia="hr-HR"/>
              </w:rPr>
              <w:t>145,374</w:t>
            </w:r>
          </w:p>
        </w:tc>
        <w:tc>
          <w:tcPr>
            <w:tcW w:w="940" w:type="dxa"/>
            <w:tcBorders>
              <w:top w:val="nil"/>
              <w:left w:val="nil"/>
              <w:bottom w:val="single" w:sz="4" w:space="0" w:color="000080"/>
              <w:right w:val="single" w:sz="4" w:space="0" w:color="000080"/>
            </w:tcBorders>
            <w:shd w:val="clear" w:color="auto" w:fill="auto"/>
            <w:noWrap/>
            <w:vAlign w:val="center"/>
            <w:hideMark/>
          </w:tcPr>
          <w:p w:rsidR="00FE5775" w:rsidRPr="00E65864" w:rsidRDefault="00FE5775" w:rsidP="00FE5775">
            <w:pPr>
              <w:spacing w:after="0" w:line="240" w:lineRule="auto"/>
              <w:jc w:val="right"/>
              <w:rPr>
                <w:rFonts w:ascii="Arial" w:eastAsia="Times New Roman" w:hAnsi="Arial" w:cs="Arial"/>
                <w:bCs/>
                <w:color w:val="000000"/>
                <w:sz w:val="16"/>
                <w:szCs w:val="16"/>
                <w:lang w:eastAsia="hr-HR"/>
              </w:rPr>
            </w:pPr>
            <w:r w:rsidRPr="00E65864">
              <w:rPr>
                <w:rFonts w:ascii="Arial" w:eastAsia="Times New Roman" w:hAnsi="Arial" w:cs="Arial"/>
                <w:bCs/>
                <w:color w:val="000000"/>
                <w:sz w:val="16"/>
                <w:szCs w:val="16"/>
                <w:lang w:eastAsia="hr-HR"/>
              </w:rPr>
              <w:t>1,585</w:t>
            </w:r>
          </w:p>
        </w:tc>
        <w:tc>
          <w:tcPr>
            <w:tcW w:w="1204" w:type="dxa"/>
            <w:tcBorders>
              <w:top w:val="nil"/>
              <w:left w:val="nil"/>
              <w:bottom w:val="single" w:sz="4" w:space="0" w:color="000080"/>
              <w:right w:val="single" w:sz="4" w:space="0" w:color="000080"/>
            </w:tcBorders>
            <w:shd w:val="clear" w:color="auto" w:fill="auto"/>
            <w:noWrap/>
            <w:vAlign w:val="center"/>
            <w:hideMark/>
          </w:tcPr>
          <w:p w:rsidR="00FE5775" w:rsidRPr="00E65864" w:rsidRDefault="00FE5775" w:rsidP="00FE5775">
            <w:pPr>
              <w:spacing w:after="0" w:line="240" w:lineRule="auto"/>
              <w:jc w:val="right"/>
              <w:rPr>
                <w:rFonts w:ascii="Arial" w:eastAsia="Times New Roman" w:hAnsi="Arial" w:cs="Arial"/>
                <w:bCs/>
                <w:color w:val="000000"/>
                <w:sz w:val="16"/>
                <w:szCs w:val="16"/>
                <w:lang w:eastAsia="hr-HR"/>
              </w:rPr>
            </w:pPr>
            <w:r w:rsidRPr="00E65864">
              <w:rPr>
                <w:rFonts w:ascii="Arial" w:eastAsia="Times New Roman" w:hAnsi="Arial" w:cs="Arial"/>
                <w:bCs/>
                <w:color w:val="000000"/>
                <w:sz w:val="16"/>
                <w:szCs w:val="16"/>
                <w:lang w:eastAsia="hr-HR"/>
              </w:rPr>
              <w:t>143,789</w:t>
            </w:r>
          </w:p>
        </w:tc>
      </w:tr>
      <w:tr w:rsidR="00FE5775" w:rsidRPr="00E65864" w:rsidTr="005A47C9">
        <w:trPr>
          <w:trHeight w:val="300"/>
          <w:jc w:val="center"/>
        </w:trPr>
        <w:tc>
          <w:tcPr>
            <w:tcW w:w="1345" w:type="dxa"/>
            <w:tcBorders>
              <w:top w:val="nil"/>
              <w:left w:val="single" w:sz="4" w:space="0" w:color="000080"/>
              <w:bottom w:val="single" w:sz="4" w:space="0" w:color="000080"/>
              <w:right w:val="single" w:sz="4" w:space="0" w:color="000080"/>
            </w:tcBorders>
            <w:shd w:val="clear" w:color="auto" w:fill="auto"/>
            <w:noWrap/>
            <w:vAlign w:val="center"/>
            <w:hideMark/>
          </w:tcPr>
          <w:p w:rsidR="00FE5775" w:rsidRPr="00E65864" w:rsidRDefault="00FE5775" w:rsidP="00E65864">
            <w:pPr>
              <w:spacing w:after="0" w:line="240" w:lineRule="auto"/>
              <w:ind w:firstLineChars="200" w:firstLine="320"/>
              <w:rPr>
                <w:rFonts w:ascii="Arial" w:eastAsia="Times New Roman" w:hAnsi="Arial" w:cs="Arial"/>
                <w:sz w:val="16"/>
                <w:szCs w:val="16"/>
                <w:lang w:eastAsia="hr-HR"/>
              </w:rPr>
            </w:pPr>
            <w:r w:rsidRPr="00E65864">
              <w:rPr>
                <w:rFonts w:ascii="Arial" w:eastAsia="Times New Roman" w:hAnsi="Arial" w:cs="Arial"/>
                <w:sz w:val="16"/>
                <w:szCs w:val="16"/>
                <w:lang w:eastAsia="hr-HR"/>
              </w:rPr>
              <w:t>- ostali izvori</w:t>
            </w:r>
          </w:p>
        </w:tc>
        <w:tc>
          <w:tcPr>
            <w:tcW w:w="997" w:type="dxa"/>
            <w:tcBorders>
              <w:top w:val="nil"/>
              <w:left w:val="nil"/>
              <w:bottom w:val="single" w:sz="4" w:space="0" w:color="000080"/>
              <w:right w:val="single" w:sz="4" w:space="0" w:color="000080"/>
            </w:tcBorders>
            <w:shd w:val="clear" w:color="auto" w:fill="auto"/>
            <w:noWrap/>
            <w:vAlign w:val="center"/>
            <w:hideMark/>
          </w:tcPr>
          <w:p w:rsidR="00FE5775" w:rsidRPr="00E65864" w:rsidRDefault="009F3646" w:rsidP="00FE5775">
            <w:pPr>
              <w:spacing w:after="0" w:line="240" w:lineRule="auto"/>
              <w:jc w:val="right"/>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0</w:t>
            </w:r>
            <w:r w:rsidR="00FE5775" w:rsidRPr="00E65864">
              <w:rPr>
                <w:rFonts w:ascii="Arial" w:eastAsia="Times New Roman" w:hAnsi="Arial" w:cs="Arial"/>
                <w:b/>
                <w:bCs/>
                <w:color w:val="000000"/>
                <w:sz w:val="16"/>
                <w:szCs w:val="16"/>
                <w:lang w:eastAsia="hr-HR"/>
              </w:rPr>
              <w:t>,471</w:t>
            </w:r>
          </w:p>
        </w:tc>
        <w:tc>
          <w:tcPr>
            <w:tcW w:w="940" w:type="dxa"/>
            <w:tcBorders>
              <w:top w:val="nil"/>
              <w:left w:val="nil"/>
              <w:bottom w:val="single" w:sz="4" w:space="0" w:color="000080"/>
              <w:right w:val="single" w:sz="4" w:space="0" w:color="000080"/>
            </w:tcBorders>
            <w:shd w:val="clear" w:color="auto" w:fill="auto"/>
            <w:noWrap/>
            <w:vAlign w:val="center"/>
            <w:hideMark/>
          </w:tcPr>
          <w:p w:rsidR="00FE5775" w:rsidRPr="00E65864" w:rsidRDefault="009F3646" w:rsidP="00FE5775">
            <w:pPr>
              <w:spacing w:after="0" w:line="240" w:lineRule="auto"/>
              <w:jc w:val="right"/>
              <w:rPr>
                <w:rFonts w:ascii="Arial" w:eastAsia="Times New Roman" w:hAnsi="Arial" w:cs="Arial"/>
                <w:bCs/>
                <w:color w:val="000000"/>
                <w:sz w:val="16"/>
                <w:szCs w:val="16"/>
                <w:lang w:eastAsia="hr-HR"/>
              </w:rPr>
            </w:pPr>
            <w:r>
              <w:rPr>
                <w:rFonts w:ascii="Arial" w:eastAsia="Times New Roman" w:hAnsi="Arial" w:cs="Arial"/>
                <w:bCs/>
                <w:color w:val="000000"/>
                <w:sz w:val="16"/>
                <w:szCs w:val="16"/>
                <w:lang w:eastAsia="hr-HR"/>
              </w:rPr>
              <w:t>0</w:t>
            </w:r>
            <w:r w:rsidR="00FE5775" w:rsidRPr="00E65864">
              <w:rPr>
                <w:rFonts w:ascii="Arial" w:eastAsia="Times New Roman" w:hAnsi="Arial" w:cs="Arial"/>
                <w:bCs/>
                <w:color w:val="000000"/>
                <w:sz w:val="16"/>
                <w:szCs w:val="16"/>
                <w:lang w:eastAsia="hr-HR"/>
              </w:rPr>
              <w:t>,032</w:t>
            </w:r>
          </w:p>
        </w:tc>
        <w:tc>
          <w:tcPr>
            <w:tcW w:w="1204" w:type="dxa"/>
            <w:tcBorders>
              <w:top w:val="nil"/>
              <w:left w:val="nil"/>
              <w:bottom w:val="single" w:sz="4" w:space="0" w:color="000080"/>
              <w:right w:val="single" w:sz="4" w:space="0" w:color="000080"/>
            </w:tcBorders>
            <w:shd w:val="clear" w:color="auto" w:fill="auto"/>
            <w:noWrap/>
            <w:vAlign w:val="center"/>
            <w:hideMark/>
          </w:tcPr>
          <w:p w:rsidR="00FE5775" w:rsidRPr="00E65864" w:rsidRDefault="009F3646" w:rsidP="00FE5775">
            <w:pPr>
              <w:spacing w:after="0" w:line="240" w:lineRule="auto"/>
              <w:jc w:val="right"/>
              <w:rPr>
                <w:rFonts w:ascii="Arial" w:eastAsia="Times New Roman" w:hAnsi="Arial" w:cs="Arial"/>
                <w:bCs/>
                <w:color w:val="000000"/>
                <w:sz w:val="16"/>
                <w:szCs w:val="16"/>
                <w:lang w:eastAsia="hr-HR"/>
              </w:rPr>
            </w:pPr>
            <w:r>
              <w:rPr>
                <w:rFonts w:ascii="Arial" w:eastAsia="Times New Roman" w:hAnsi="Arial" w:cs="Arial"/>
                <w:bCs/>
                <w:color w:val="000000"/>
                <w:sz w:val="16"/>
                <w:szCs w:val="16"/>
                <w:lang w:eastAsia="hr-HR"/>
              </w:rPr>
              <w:t>0</w:t>
            </w:r>
            <w:r w:rsidR="00FE5775" w:rsidRPr="00E65864">
              <w:rPr>
                <w:rFonts w:ascii="Arial" w:eastAsia="Times New Roman" w:hAnsi="Arial" w:cs="Arial"/>
                <w:bCs/>
                <w:color w:val="000000"/>
                <w:sz w:val="16"/>
                <w:szCs w:val="16"/>
                <w:lang w:eastAsia="hr-HR"/>
              </w:rPr>
              <w:t>,439</w:t>
            </w:r>
          </w:p>
        </w:tc>
      </w:tr>
    </w:tbl>
    <w:p w:rsidR="00E17BF3" w:rsidRDefault="00E17BF3" w:rsidP="00E17BF3">
      <w:pPr>
        <w:shd w:val="clear" w:color="auto" w:fill="FFFFFF"/>
        <w:spacing w:after="0" w:line="240" w:lineRule="auto"/>
        <w:ind w:firstLine="360"/>
        <w:jc w:val="both"/>
        <w:rPr>
          <w:rFonts w:ascii="Times New Roman" w:hAnsi="Times New Roman" w:cs="Times New Roman"/>
          <w:u w:val="single"/>
        </w:rPr>
      </w:pPr>
    </w:p>
    <w:p w:rsidR="00E17BF3" w:rsidRPr="00FA7F54" w:rsidRDefault="00E17BF3" w:rsidP="00E17BF3">
      <w:pPr>
        <w:shd w:val="clear" w:color="auto" w:fill="FFFFFF"/>
        <w:spacing w:after="0" w:line="240" w:lineRule="auto"/>
        <w:ind w:firstLine="360"/>
        <w:jc w:val="both"/>
        <w:rPr>
          <w:rFonts w:ascii="Times New Roman" w:hAnsi="Times New Roman" w:cs="Times New Roman"/>
          <w:u w:val="single"/>
        </w:rPr>
      </w:pPr>
      <w:r w:rsidRPr="00FA7F54">
        <w:rPr>
          <w:rFonts w:ascii="Times New Roman" w:hAnsi="Times New Roman" w:cs="Times New Roman"/>
          <w:u w:val="single"/>
        </w:rPr>
        <w:t>Mjere za smanjenje odnosno optimizaciju rashoda:</w:t>
      </w:r>
    </w:p>
    <w:p w:rsidR="00FE5775" w:rsidRPr="00B76776" w:rsidRDefault="00E17BF3" w:rsidP="002E729E">
      <w:pPr>
        <w:pStyle w:val="Odlomakpopisa"/>
        <w:numPr>
          <w:ilvl w:val="0"/>
          <w:numId w:val="30"/>
        </w:numPr>
        <w:spacing w:line="240" w:lineRule="auto"/>
        <w:ind w:left="0" w:firstLine="360"/>
        <w:jc w:val="both"/>
        <w:rPr>
          <w:rFonts w:ascii="Times New Roman" w:hAnsi="Times New Roman" w:cs="Times New Roman"/>
        </w:rPr>
      </w:pPr>
      <w:r w:rsidRPr="00E17BF3">
        <w:rPr>
          <w:rFonts w:ascii="Times New Roman" w:hAnsi="Times New Roman" w:cs="Times New Roman"/>
        </w:rPr>
        <w:t xml:space="preserve">Procjena </w:t>
      </w:r>
      <w:r w:rsidRPr="00E17BF3">
        <w:rPr>
          <w:rFonts w:ascii="Times New Roman" w:eastAsia="Times New Roman" w:hAnsi="Times New Roman"/>
          <w:lang w:eastAsia="hr-HR"/>
        </w:rPr>
        <w:t>učinkovitog i djelotvornog funkcioniranja sustava financijskog upravljanja i kontrola</w:t>
      </w:r>
      <w:r w:rsidRPr="00E17BF3">
        <w:rPr>
          <w:rFonts w:ascii="Times New Roman" w:hAnsi="Times New Roman" w:cs="Times New Roman"/>
        </w:rPr>
        <w:t>:</w:t>
      </w:r>
      <w:r w:rsidR="007963A3">
        <w:rPr>
          <w:rFonts w:ascii="Times New Roman" w:hAnsi="Times New Roman" w:cs="Times New Roman"/>
        </w:rPr>
        <w:t xml:space="preserve"> </w:t>
      </w:r>
      <w:r w:rsidR="00D42909">
        <w:rPr>
          <w:rFonts w:ascii="Times New Roman" w:hAnsi="Times New Roman" w:cs="Times New Roman"/>
        </w:rPr>
        <w:t>Izraditi analizu članarina</w:t>
      </w:r>
      <w:r w:rsidR="00370BC7">
        <w:rPr>
          <w:rFonts w:ascii="Times New Roman" w:hAnsi="Times New Roman" w:cs="Times New Roman"/>
        </w:rPr>
        <w:t>.</w:t>
      </w:r>
      <w:r w:rsidR="00D42909">
        <w:rPr>
          <w:rFonts w:ascii="Times New Roman" w:hAnsi="Times New Roman" w:cs="Times New Roman"/>
        </w:rPr>
        <w:t xml:space="preserve"> </w:t>
      </w:r>
    </w:p>
    <w:p w:rsidR="002A491B" w:rsidRPr="00FA7F54" w:rsidRDefault="002A491B" w:rsidP="002A491B">
      <w:pPr>
        <w:pStyle w:val="Naslov2"/>
        <w:rPr>
          <w:rFonts w:ascii="Times New Roman" w:hAnsi="Times New Roman" w:cs="Times New Roman"/>
          <w:color w:val="auto"/>
          <w:sz w:val="22"/>
          <w:szCs w:val="22"/>
        </w:rPr>
      </w:pPr>
      <w:bookmarkStart w:id="129" w:name="_Toc434411203"/>
      <w:bookmarkStart w:id="130" w:name="_Toc436402346"/>
      <w:r w:rsidRPr="00FA7F54">
        <w:rPr>
          <w:rFonts w:ascii="Times New Roman" w:hAnsi="Times New Roman" w:cs="Times New Roman"/>
          <w:color w:val="auto"/>
          <w:sz w:val="22"/>
          <w:szCs w:val="22"/>
        </w:rPr>
        <w:t>PRISTOJBE I NAKNADE (3295)</w:t>
      </w:r>
      <w:bookmarkEnd w:id="129"/>
      <w:bookmarkEnd w:id="130"/>
    </w:p>
    <w:p w:rsidR="002A491B" w:rsidRPr="00FA7F54" w:rsidRDefault="002A491B" w:rsidP="002A491B">
      <w:pPr>
        <w:spacing w:line="240" w:lineRule="auto"/>
        <w:jc w:val="both"/>
        <w:rPr>
          <w:rFonts w:ascii="Times New Roman" w:hAnsi="Times New Roman" w:cs="Times New Roman"/>
        </w:rPr>
      </w:pPr>
      <w:r w:rsidRPr="00FA7F54">
        <w:rPr>
          <w:rFonts w:ascii="Times New Roman" w:hAnsi="Times New Roman" w:cs="Times New Roman"/>
        </w:rPr>
        <w:t xml:space="preserve">Prema iskazanim podacima u financijskim izvještajima rashodi za </w:t>
      </w:r>
      <w:r w:rsidR="00595900">
        <w:rPr>
          <w:rFonts w:ascii="Times New Roman" w:hAnsi="Times New Roman" w:cs="Times New Roman"/>
        </w:rPr>
        <w:t>pristojbe i naknade</w:t>
      </w:r>
      <w:r w:rsidRPr="00FA7F54">
        <w:rPr>
          <w:rFonts w:ascii="Times New Roman" w:hAnsi="Times New Roman" w:cs="Times New Roman"/>
        </w:rPr>
        <w:t xml:space="preserve"> u 2013. godini iznosili su </w:t>
      </w:r>
      <w:r w:rsidR="00595900">
        <w:rPr>
          <w:rFonts w:ascii="Times New Roman" w:hAnsi="Times New Roman" w:cs="Times New Roman"/>
        </w:rPr>
        <w:t>21,1</w:t>
      </w:r>
      <w:r w:rsidRPr="00FA7F54">
        <w:rPr>
          <w:rFonts w:ascii="Times New Roman" w:hAnsi="Times New Roman" w:cs="Times New Roman"/>
        </w:rPr>
        <w:t xml:space="preserve"> m</w:t>
      </w:r>
      <w:r w:rsidR="00595900">
        <w:rPr>
          <w:rFonts w:ascii="Times New Roman" w:hAnsi="Times New Roman" w:cs="Times New Roman"/>
        </w:rPr>
        <w:t>il. kuna, a u 2014. godini 119,8</w:t>
      </w:r>
      <w:r w:rsidRPr="00FA7F54">
        <w:rPr>
          <w:rFonts w:ascii="Times New Roman" w:hAnsi="Times New Roman" w:cs="Times New Roman"/>
        </w:rPr>
        <w:t xml:space="preserve"> mil. kuna. U državnom proračunu za</w:t>
      </w:r>
      <w:r w:rsidR="00595900">
        <w:rPr>
          <w:rFonts w:ascii="Times New Roman" w:hAnsi="Times New Roman" w:cs="Times New Roman"/>
        </w:rPr>
        <w:t xml:space="preserve"> 2015. godinu planirano je 16,5</w:t>
      </w:r>
      <w:r w:rsidRPr="00FA7F54">
        <w:rPr>
          <w:rFonts w:ascii="Times New Roman" w:hAnsi="Times New Roman" w:cs="Times New Roman"/>
        </w:rPr>
        <w:t xml:space="preserve"> mil. kuna na</w:t>
      </w:r>
      <w:r w:rsidR="00595900">
        <w:rPr>
          <w:rFonts w:ascii="Times New Roman" w:hAnsi="Times New Roman" w:cs="Times New Roman"/>
        </w:rPr>
        <w:t>vedenih rashoda od čega se 9,7</w:t>
      </w:r>
      <w:r w:rsidRPr="00FA7F54">
        <w:rPr>
          <w:rFonts w:ascii="Times New Roman" w:hAnsi="Times New Roman" w:cs="Times New Roman"/>
        </w:rPr>
        <w:t xml:space="preserve"> mil. financira iz izvora u limitu.</w:t>
      </w:r>
    </w:p>
    <w:p w:rsidR="002A491B" w:rsidRPr="00FA7F54" w:rsidRDefault="002A491B" w:rsidP="002A491B">
      <w:pPr>
        <w:spacing w:line="240" w:lineRule="auto"/>
        <w:jc w:val="both"/>
        <w:rPr>
          <w:rFonts w:ascii="Times New Roman" w:hAnsi="Times New Roman" w:cs="Times New Roman"/>
        </w:rPr>
      </w:pPr>
      <w:r w:rsidRPr="00FA7F54">
        <w:rPr>
          <w:rFonts w:ascii="Times New Roman" w:hAnsi="Times New Roman" w:cs="Times New Roman"/>
        </w:rPr>
        <w:t>Najveći dio rashoda odnosi se na Ministarstvo poljoprivrede (82 mil.), MORH (15 mil.), HZZO (5,6 mil.)</w:t>
      </w:r>
      <w:r w:rsidR="00C85B5B">
        <w:rPr>
          <w:rFonts w:ascii="Times New Roman" w:hAnsi="Times New Roman" w:cs="Times New Roman"/>
        </w:rPr>
        <w:t xml:space="preserve"> i NP Plitvička Jezera (5 mil.)</w:t>
      </w:r>
      <w:r w:rsidR="004A754C">
        <w:rPr>
          <w:rFonts w:ascii="Times New Roman" w:hAnsi="Times New Roman" w:cs="Times New Roman"/>
        </w:rPr>
        <w:t>.</w:t>
      </w:r>
    </w:p>
    <w:p w:rsidR="009835A2" w:rsidRPr="005A47C9" w:rsidRDefault="009835A2" w:rsidP="006B7B79">
      <w:pPr>
        <w:pStyle w:val="Opisslike"/>
        <w:spacing w:after="0"/>
        <w:jc w:val="both"/>
        <w:rPr>
          <w:rFonts w:ascii="Times New Roman" w:hAnsi="Times New Roman" w:cs="Times New Roman"/>
          <w:sz w:val="20"/>
          <w:szCs w:val="20"/>
        </w:rPr>
      </w:pPr>
      <w:bookmarkStart w:id="131" w:name="_Toc436402309"/>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62</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EA70F6" w:rsidRPr="006B7B79">
        <w:rPr>
          <w:rFonts w:ascii="Times New Roman" w:hAnsi="Times New Roman" w:cs="Times New Roman"/>
          <w:sz w:val="20"/>
          <w:szCs w:val="20"/>
        </w:rPr>
        <w:t xml:space="preserve"> Pristojbe i naknade prema podacima iskazanim u financijskim izvještajima proračunskih i izvanproračunskih korisnika za 2013. i 2014. godinu te planu Državnog proračuna za 2015. godinu</w:t>
      </w:r>
      <w:bookmarkEnd w:id="131"/>
    </w:p>
    <w:p w:rsidR="00FE5775" w:rsidRPr="00FA7F54" w:rsidRDefault="007E2B8A" w:rsidP="005A47C9">
      <w:pPr>
        <w:spacing w:line="240" w:lineRule="auto"/>
        <w:jc w:val="center"/>
        <w:rPr>
          <w:rFonts w:ascii="Times New Roman" w:hAnsi="Times New Roman" w:cs="Times New Roman"/>
        </w:rPr>
      </w:pPr>
      <w:r w:rsidRPr="007E2B8A">
        <w:rPr>
          <w:noProof/>
          <w:lang w:eastAsia="hr-HR"/>
        </w:rPr>
        <w:drawing>
          <wp:inline distT="0" distB="0" distL="0" distR="0" wp14:anchorId="07E99B16" wp14:editId="27EF4900">
            <wp:extent cx="4533900" cy="2884407"/>
            <wp:effectExtent l="0" t="0" r="0" b="0"/>
            <wp:docPr id="67" name="Slik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40439" cy="2888567"/>
                    </a:xfrm>
                    <a:prstGeom prst="rect">
                      <a:avLst/>
                    </a:prstGeom>
                    <a:noFill/>
                    <a:ln>
                      <a:noFill/>
                    </a:ln>
                  </pic:spPr>
                </pic:pic>
              </a:graphicData>
            </a:graphic>
          </wp:inline>
        </w:drawing>
      </w:r>
    </w:p>
    <w:p w:rsidR="00F6104E" w:rsidRPr="00FA7F54" w:rsidRDefault="007A7178" w:rsidP="00C83540">
      <w:pPr>
        <w:spacing w:line="240" w:lineRule="auto"/>
        <w:rPr>
          <w:rFonts w:ascii="Times New Roman" w:hAnsi="Times New Roman" w:cs="Times New Roman"/>
        </w:rPr>
      </w:pPr>
      <w:r w:rsidRPr="00FA7F54">
        <w:rPr>
          <w:rFonts w:ascii="Times New Roman" w:hAnsi="Times New Roman" w:cs="Times New Roman"/>
        </w:rPr>
        <w:t>Navedeni rashodi uključuju upravne i administrativne pristojbe, sudske pristojbe, javnobilježničke pristojbe i ostale pristojbe i naknade.</w:t>
      </w:r>
    </w:p>
    <w:p w:rsidR="009835A2" w:rsidRPr="005A47C9" w:rsidRDefault="009835A2" w:rsidP="006B7B79">
      <w:pPr>
        <w:pStyle w:val="Opisslike"/>
        <w:spacing w:after="0"/>
        <w:jc w:val="both"/>
        <w:rPr>
          <w:rFonts w:ascii="Times New Roman" w:hAnsi="Times New Roman" w:cs="Times New Roman"/>
          <w:sz w:val="20"/>
          <w:szCs w:val="20"/>
        </w:rPr>
      </w:pPr>
      <w:bookmarkStart w:id="132" w:name="_Toc436402310"/>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63</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EA70F6" w:rsidRPr="006B7B79">
        <w:rPr>
          <w:rFonts w:ascii="Times New Roman" w:hAnsi="Times New Roman" w:cs="Times New Roman"/>
          <w:sz w:val="20"/>
          <w:szCs w:val="20"/>
        </w:rPr>
        <w:t xml:space="preserve"> Pristojbe i naknade prema podacima iskazanim u državnom proračunu – izvršenje za 2014. (u mil.</w:t>
      </w:r>
      <w:r w:rsidR="005A47C9">
        <w:rPr>
          <w:rFonts w:ascii="Times New Roman" w:hAnsi="Times New Roman" w:cs="Times New Roman"/>
          <w:sz w:val="20"/>
          <w:szCs w:val="20"/>
        </w:rPr>
        <w:t xml:space="preserve"> kuna</w:t>
      </w:r>
      <w:r w:rsidR="00EA70F6" w:rsidRPr="006B7B79">
        <w:rPr>
          <w:rFonts w:ascii="Times New Roman" w:hAnsi="Times New Roman" w:cs="Times New Roman"/>
          <w:sz w:val="20"/>
          <w:szCs w:val="20"/>
        </w:rPr>
        <w:t>)</w:t>
      </w:r>
      <w:bookmarkEnd w:id="132"/>
    </w:p>
    <w:tbl>
      <w:tblPr>
        <w:tblW w:w="6727" w:type="dxa"/>
        <w:jc w:val="center"/>
        <w:tblInd w:w="93" w:type="dxa"/>
        <w:tblLook w:val="04A0" w:firstRow="1" w:lastRow="0" w:firstColumn="1" w:lastColumn="0" w:noHBand="0" w:noVBand="1"/>
      </w:tblPr>
      <w:tblGrid>
        <w:gridCol w:w="1314"/>
        <w:gridCol w:w="885"/>
        <w:gridCol w:w="1293"/>
        <w:gridCol w:w="971"/>
        <w:gridCol w:w="1382"/>
        <w:gridCol w:w="882"/>
      </w:tblGrid>
      <w:tr w:rsidR="007A7178" w:rsidRPr="00EA70F6" w:rsidTr="005A47C9">
        <w:trPr>
          <w:trHeight w:val="851"/>
          <w:jc w:val="center"/>
        </w:trPr>
        <w:tc>
          <w:tcPr>
            <w:tcW w:w="1314"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7A7178" w:rsidRPr="00EA70F6" w:rsidRDefault="007A7178" w:rsidP="005A47C9">
            <w:pPr>
              <w:spacing w:after="0" w:line="240" w:lineRule="auto"/>
              <w:jc w:val="center"/>
              <w:rPr>
                <w:rFonts w:ascii="Arial" w:eastAsia="Times New Roman" w:hAnsi="Arial" w:cs="Arial"/>
                <w:b/>
                <w:bCs/>
                <w:sz w:val="16"/>
                <w:szCs w:val="16"/>
                <w:lang w:eastAsia="hr-HR"/>
              </w:rPr>
            </w:pPr>
            <w:r w:rsidRPr="00EA70F6">
              <w:rPr>
                <w:rFonts w:ascii="Arial" w:eastAsia="Times New Roman" w:hAnsi="Arial" w:cs="Arial"/>
                <w:b/>
                <w:bCs/>
                <w:sz w:val="16"/>
                <w:szCs w:val="16"/>
                <w:lang w:eastAsia="hr-HR"/>
              </w:rPr>
              <w:t>Izvršenje 2014.</w:t>
            </w:r>
          </w:p>
        </w:tc>
        <w:tc>
          <w:tcPr>
            <w:tcW w:w="885" w:type="dxa"/>
            <w:tcBorders>
              <w:top w:val="single" w:sz="4" w:space="0" w:color="000080"/>
              <w:left w:val="nil"/>
              <w:bottom w:val="single" w:sz="4" w:space="0" w:color="000080"/>
              <w:right w:val="single" w:sz="4" w:space="0" w:color="000080"/>
            </w:tcBorders>
            <w:shd w:val="clear" w:color="000000" w:fill="DCE6F1"/>
            <w:vAlign w:val="center"/>
            <w:hideMark/>
          </w:tcPr>
          <w:p w:rsidR="007A7178" w:rsidRPr="00EA70F6" w:rsidRDefault="007A7178" w:rsidP="005A47C9">
            <w:pPr>
              <w:spacing w:after="0" w:line="240" w:lineRule="auto"/>
              <w:jc w:val="center"/>
              <w:rPr>
                <w:rFonts w:ascii="Arial" w:eastAsia="Times New Roman" w:hAnsi="Arial" w:cs="Arial"/>
                <w:color w:val="000000"/>
                <w:sz w:val="16"/>
                <w:szCs w:val="16"/>
                <w:lang w:eastAsia="hr-HR"/>
              </w:rPr>
            </w:pPr>
            <w:r w:rsidRPr="00EA70F6">
              <w:rPr>
                <w:rFonts w:ascii="Arial" w:eastAsia="Times New Roman" w:hAnsi="Arial" w:cs="Arial"/>
                <w:color w:val="000000"/>
                <w:sz w:val="16"/>
                <w:szCs w:val="16"/>
                <w:lang w:eastAsia="hr-HR"/>
              </w:rPr>
              <w:t>Pristojbe i naknade</w:t>
            </w:r>
          </w:p>
        </w:tc>
        <w:tc>
          <w:tcPr>
            <w:tcW w:w="1293" w:type="dxa"/>
            <w:tcBorders>
              <w:top w:val="single" w:sz="4" w:space="0" w:color="000080"/>
              <w:left w:val="nil"/>
              <w:bottom w:val="single" w:sz="4" w:space="0" w:color="000080"/>
              <w:right w:val="single" w:sz="4" w:space="0" w:color="000080"/>
            </w:tcBorders>
            <w:shd w:val="clear" w:color="000000" w:fill="DCE6F1"/>
            <w:vAlign w:val="center"/>
            <w:hideMark/>
          </w:tcPr>
          <w:p w:rsidR="007A7178" w:rsidRPr="00EA70F6" w:rsidRDefault="007A7178" w:rsidP="005A47C9">
            <w:pPr>
              <w:spacing w:after="0" w:line="240" w:lineRule="auto"/>
              <w:jc w:val="center"/>
              <w:rPr>
                <w:rFonts w:ascii="Arial" w:eastAsia="Times New Roman" w:hAnsi="Arial" w:cs="Arial"/>
                <w:color w:val="000000"/>
                <w:sz w:val="16"/>
                <w:szCs w:val="16"/>
                <w:lang w:eastAsia="hr-HR"/>
              </w:rPr>
            </w:pPr>
            <w:r w:rsidRPr="00EA70F6">
              <w:rPr>
                <w:rFonts w:ascii="Arial" w:eastAsia="Times New Roman" w:hAnsi="Arial" w:cs="Arial"/>
                <w:color w:val="000000"/>
                <w:sz w:val="16"/>
                <w:szCs w:val="16"/>
                <w:lang w:eastAsia="hr-HR"/>
              </w:rPr>
              <w:t>Upravne i administrativne pristojbe</w:t>
            </w:r>
          </w:p>
        </w:tc>
        <w:tc>
          <w:tcPr>
            <w:tcW w:w="971" w:type="dxa"/>
            <w:tcBorders>
              <w:top w:val="single" w:sz="4" w:space="0" w:color="000080"/>
              <w:left w:val="nil"/>
              <w:bottom w:val="single" w:sz="4" w:space="0" w:color="000080"/>
              <w:right w:val="single" w:sz="4" w:space="0" w:color="000080"/>
            </w:tcBorders>
            <w:shd w:val="clear" w:color="000000" w:fill="DCE6F1"/>
            <w:vAlign w:val="center"/>
            <w:hideMark/>
          </w:tcPr>
          <w:p w:rsidR="007A7178" w:rsidRPr="00EA70F6" w:rsidRDefault="007A7178" w:rsidP="005A47C9">
            <w:pPr>
              <w:spacing w:after="0" w:line="240" w:lineRule="auto"/>
              <w:jc w:val="center"/>
              <w:rPr>
                <w:rFonts w:ascii="Arial" w:eastAsia="Times New Roman" w:hAnsi="Arial" w:cs="Arial"/>
                <w:color w:val="000000"/>
                <w:sz w:val="16"/>
                <w:szCs w:val="16"/>
                <w:lang w:eastAsia="hr-HR"/>
              </w:rPr>
            </w:pPr>
            <w:r w:rsidRPr="00EA70F6">
              <w:rPr>
                <w:rFonts w:ascii="Arial" w:eastAsia="Times New Roman" w:hAnsi="Arial" w:cs="Arial"/>
                <w:color w:val="000000"/>
                <w:sz w:val="16"/>
                <w:szCs w:val="16"/>
                <w:lang w:eastAsia="hr-HR"/>
              </w:rPr>
              <w:t>Sudske pristojbe</w:t>
            </w:r>
          </w:p>
        </w:tc>
        <w:tc>
          <w:tcPr>
            <w:tcW w:w="1382" w:type="dxa"/>
            <w:tcBorders>
              <w:top w:val="single" w:sz="4" w:space="0" w:color="000080"/>
              <w:left w:val="nil"/>
              <w:bottom w:val="single" w:sz="4" w:space="0" w:color="000080"/>
              <w:right w:val="single" w:sz="4" w:space="0" w:color="000080"/>
            </w:tcBorders>
            <w:shd w:val="clear" w:color="000000" w:fill="DCE6F1"/>
            <w:vAlign w:val="center"/>
            <w:hideMark/>
          </w:tcPr>
          <w:p w:rsidR="007A7178" w:rsidRPr="00EA70F6" w:rsidRDefault="007A7178" w:rsidP="005A47C9">
            <w:pPr>
              <w:spacing w:after="0" w:line="240" w:lineRule="auto"/>
              <w:jc w:val="center"/>
              <w:rPr>
                <w:rFonts w:ascii="Arial" w:eastAsia="Times New Roman" w:hAnsi="Arial" w:cs="Arial"/>
                <w:color w:val="000000"/>
                <w:sz w:val="16"/>
                <w:szCs w:val="16"/>
                <w:lang w:eastAsia="hr-HR"/>
              </w:rPr>
            </w:pPr>
            <w:r w:rsidRPr="00EA70F6">
              <w:rPr>
                <w:rFonts w:ascii="Arial" w:eastAsia="Times New Roman" w:hAnsi="Arial" w:cs="Arial"/>
                <w:color w:val="000000"/>
                <w:sz w:val="16"/>
                <w:szCs w:val="16"/>
                <w:lang w:eastAsia="hr-HR"/>
              </w:rPr>
              <w:t>Javnobilježničke pristojbe</w:t>
            </w:r>
          </w:p>
        </w:tc>
        <w:tc>
          <w:tcPr>
            <w:tcW w:w="882" w:type="dxa"/>
            <w:tcBorders>
              <w:top w:val="single" w:sz="4" w:space="0" w:color="000080"/>
              <w:left w:val="nil"/>
              <w:bottom w:val="single" w:sz="4" w:space="0" w:color="000080"/>
              <w:right w:val="single" w:sz="4" w:space="0" w:color="000080"/>
            </w:tcBorders>
            <w:shd w:val="clear" w:color="000000" w:fill="DCE6F1"/>
            <w:vAlign w:val="center"/>
            <w:hideMark/>
          </w:tcPr>
          <w:p w:rsidR="007A7178" w:rsidRPr="00EA70F6" w:rsidRDefault="007A7178" w:rsidP="005A47C9">
            <w:pPr>
              <w:spacing w:after="0" w:line="240" w:lineRule="auto"/>
              <w:jc w:val="center"/>
              <w:rPr>
                <w:rFonts w:ascii="Arial" w:eastAsia="Times New Roman" w:hAnsi="Arial" w:cs="Arial"/>
                <w:color w:val="000000"/>
                <w:sz w:val="16"/>
                <w:szCs w:val="16"/>
                <w:lang w:eastAsia="hr-HR"/>
              </w:rPr>
            </w:pPr>
            <w:r w:rsidRPr="00EA70F6">
              <w:rPr>
                <w:rFonts w:ascii="Arial" w:eastAsia="Times New Roman" w:hAnsi="Arial" w:cs="Arial"/>
                <w:color w:val="000000"/>
                <w:sz w:val="16"/>
                <w:szCs w:val="16"/>
                <w:lang w:eastAsia="hr-HR"/>
              </w:rPr>
              <w:t>Ostale pristojbe i naknade</w:t>
            </w:r>
          </w:p>
        </w:tc>
      </w:tr>
      <w:tr w:rsidR="007A7178" w:rsidRPr="00EA70F6" w:rsidTr="005A47C9">
        <w:trPr>
          <w:trHeight w:val="300"/>
          <w:jc w:val="center"/>
        </w:trPr>
        <w:tc>
          <w:tcPr>
            <w:tcW w:w="1314" w:type="dxa"/>
            <w:tcBorders>
              <w:top w:val="nil"/>
              <w:left w:val="single" w:sz="4" w:space="0" w:color="000080"/>
              <w:bottom w:val="single" w:sz="4" w:space="0" w:color="000080"/>
              <w:right w:val="single" w:sz="4" w:space="0" w:color="000080"/>
            </w:tcBorders>
            <w:shd w:val="clear" w:color="000000" w:fill="DCE6F1"/>
            <w:noWrap/>
            <w:vAlign w:val="center"/>
            <w:hideMark/>
          </w:tcPr>
          <w:p w:rsidR="007A7178" w:rsidRPr="00EA70F6" w:rsidRDefault="007A7178" w:rsidP="00EA70F6">
            <w:pPr>
              <w:spacing w:after="0" w:line="240" w:lineRule="auto"/>
              <w:ind w:firstLineChars="200" w:firstLine="320"/>
              <w:rPr>
                <w:rFonts w:ascii="Arial" w:eastAsia="Times New Roman" w:hAnsi="Arial" w:cs="Arial"/>
                <w:sz w:val="16"/>
                <w:szCs w:val="16"/>
                <w:lang w:eastAsia="hr-HR"/>
              </w:rPr>
            </w:pPr>
            <w:r w:rsidRPr="00EA70F6">
              <w:rPr>
                <w:rFonts w:ascii="Arial" w:eastAsia="Times New Roman" w:hAnsi="Arial" w:cs="Arial"/>
                <w:sz w:val="16"/>
                <w:szCs w:val="16"/>
                <w:lang w:eastAsia="hr-HR"/>
              </w:rPr>
              <w:t>- Ukupno</w:t>
            </w:r>
          </w:p>
        </w:tc>
        <w:tc>
          <w:tcPr>
            <w:tcW w:w="885" w:type="dxa"/>
            <w:tcBorders>
              <w:top w:val="nil"/>
              <w:left w:val="nil"/>
              <w:bottom w:val="single" w:sz="4" w:space="0" w:color="000080"/>
              <w:right w:val="single" w:sz="4" w:space="0" w:color="000080"/>
            </w:tcBorders>
            <w:shd w:val="clear" w:color="000000" w:fill="DCE6F1"/>
            <w:noWrap/>
            <w:vAlign w:val="center"/>
            <w:hideMark/>
          </w:tcPr>
          <w:p w:rsidR="007A7178" w:rsidRPr="00EA70F6" w:rsidRDefault="007A7178" w:rsidP="00F6104E">
            <w:pPr>
              <w:spacing w:after="0" w:line="240" w:lineRule="auto"/>
              <w:jc w:val="right"/>
              <w:rPr>
                <w:rFonts w:ascii="Arial" w:eastAsia="Times New Roman" w:hAnsi="Arial" w:cs="Arial"/>
                <w:b/>
                <w:bCs/>
                <w:color w:val="000000"/>
                <w:sz w:val="16"/>
                <w:szCs w:val="16"/>
                <w:lang w:eastAsia="hr-HR"/>
              </w:rPr>
            </w:pPr>
            <w:r w:rsidRPr="00EA70F6">
              <w:rPr>
                <w:rFonts w:ascii="Arial" w:eastAsia="Times New Roman" w:hAnsi="Arial" w:cs="Arial"/>
                <w:b/>
                <w:bCs/>
                <w:color w:val="000000"/>
                <w:sz w:val="16"/>
                <w:szCs w:val="16"/>
                <w:lang w:eastAsia="hr-HR"/>
              </w:rPr>
              <w:t>106,607</w:t>
            </w:r>
          </w:p>
        </w:tc>
        <w:tc>
          <w:tcPr>
            <w:tcW w:w="1293" w:type="dxa"/>
            <w:tcBorders>
              <w:top w:val="nil"/>
              <w:left w:val="nil"/>
              <w:bottom w:val="single" w:sz="4" w:space="0" w:color="000080"/>
              <w:right w:val="single" w:sz="4" w:space="0" w:color="000080"/>
            </w:tcBorders>
            <w:shd w:val="clear" w:color="000000" w:fill="DCE6F1"/>
            <w:noWrap/>
            <w:vAlign w:val="center"/>
            <w:hideMark/>
          </w:tcPr>
          <w:p w:rsidR="007A7178" w:rsidRPr="00EA70F6" w:rsidRDefault="007A7178" w:rsidP="00F6104E">
            <w:pPr>
              <w:spacing w:after="0" w:line="240" w:lineRule="auto"/>
              <w:jc w:val="right"/>
              <w:rPr>
                <w:rFonts w:ascii="Arial" w:eastAsia="Times New Roman" w:hAnsi="Arial" w:cs="Arial"/>
                <w:b/>
                <w:bCs/>
                <w:color w:val="000000"/>
                <w:sz w:val="16"/>
                <w:szCs w:val="16"/>
                <w:lang w:eastAsia="hr-HR"/>
              </w:rPr>
            </w:pPr>
            <w:r w:rsidRPr="00EA70F6">
              <w:rPr>
                <w:rFonts w:ascii="Arial" w:eastAsia="Times New Roman" w:hAnsi="Arial" w:cs="Arial"/>
                <w:b/>
                <w:bCs/>
                <w:color w:val="000000"/>
                <w:sz w:val="16"/>
                <w:szCs w:val="16"/>
                <w:lang w:eastAsia="hr-HR"/>
              </w:rPr>
              <w:t>,096</w:t>
            </w:r>
          </w:p>
        </w:tc>
        <w:tc>
          <w:tcPr>
            <w:tcW w:w="971" w:type="dxa"/>
            <w:tcBorders>
              <w:top w:val="nil"/>
              <w:left w:val="nil"/>
              <w:bottom w:val="single" w:sz="4" w:space="0" w:color="000080"/>
              <w:right w:val="single" w:sz="4" w:space="0" w:color="000080"/>
            </w:tcBorders>
            <w:shd w:val="clear" w:color="000000" w:fill="DCE6F1"/>
            <w:noWrap/>
            <w:vAlign w:val="center"/>
            <w:hideMark/>
          </w:tcPr>
          <w:p w:rsidR="007A7178" w:rsidRPr="00EA70F6" w:rsidRDefault="007A7178" w:rsidP="00F6104E">
            <w:pPr>
              <w:spacing w:after="0" w:line="240" w:lineRule="auto"/>
              <w:jc w:val="right"/>
              <w:rPr>
                <w:rFonts w:ascii="Arial" w:eastAsia="Times New Roman" w:hAnsi="Arial" w:cs="Arial"/>
                <w:b/>
                <w:bCs/>
                <w:color w:val="000000"/>
                <w:sz w:val="16"/>
                <w:szCs w:val="16"/>
                <w:lang w:eastAsia="hr-HR"/>
              </w:rPr>
            </w:pPr>
            <w:r w:rsidRPr="00EA70F6">
              <w:rPr>
                <w:rFonts w:ascii="Arial" w:eastAsia="Times New Roman" w:hAnsi="Arial" w:cs="Arial"/>
                <w:b/>
                <w:bCs/>
                <w:color w:val="000000"/>
                <w:sz w:val="16"/>
                <w:szCs w:val="16"/>
                <w:lang w:eastAsia="hr-HR"/>
              </w:rPr>
              <w:t>84,404</w:t>
            </w:r>
          </w:p>
        </w:tc>
        <w:tc>
          <w:tcPr>
            <w:tcW w:w="1382" w:type="dxa"/>
            <w:tcBorders>
              <w:top w:val="nil"/>
              <w:left w:val="nil"/>
              <w:bottom w:val="single" w:sz="4" w:space="0" w:color="000080"/>
              <w:right w:val="single" w:sz="4" w:space="0" w:color="000080"/>
            </w:tcBorders>
            <w:shd w:val="clear" w:color="000000" w:fill="DCE6F1"/>
            <w:noWrap/>
            <w:vAlign w:val="center"/>
            <w:hideMark/>
          </w:tcPr>
          <w:p w:rsidR="007A7178" w:rsidRPr="00EA70F6" w:rsidRDefault="007A7178" w:rsidP="00F6104E">
            <w:pPr>
              <w:spacing w:after="0" w:line="240" w:lineRule="auto"/>
              <w:jc w:val="right"/>
              <w:rPr>
                <w:rFonts w:ascii="Arial" w:eastAsia="Times New Roman" w:hAnsi="Arial" w:cs="Arial"/>
                <w:b/>
                <w:bCs/>
                <w:color w:val="000000"/>
                <w:sz w:val="16"/>
                <w:szCs w:val="16"/>
                <w:lang w:eastAsia="hr-HR"/>
              </w:rPr>
            </w:pPr>
            <w:r w:rsidRPr="00EA70F6">
              <w:rPr>
                <w:rFonts w:ascii="Arial" w:eastAsia="Times New Roman" w:hAnsi="Arial" w:cs="Arial"/>
                <w:b/>
                <w:bCs/>
                <w:color w:val="000000"/>
                <w:sz w:val="16"/>
                <w:szCs w:val="16"/>
                <w:lang w:eastAsia="hr-HR"/>
              </w:rPr>
              <w:t>4,363</w:t>
            </w:r>
          </w:p>
        </w:tc>
        <w:tc>
          <w:tcPr>
            <w:tcW w:w="882" w:type="dxa"/>
            <w:tcBorders>
              <w:top w:val="nil"/>
              <w:left w:val="nil"/>
              <w:bottom w:val="single" w:sz="4" w:space="0" w:color="000080"/>
              <w:right w:val="single" w:sz="4" w:space="0" w:color="000080"/>
            </w:tcBorders>
            <w:shd w:val="clear" w:color="000000" w:fill="DCE6F1"/>
            <w:noWrap/>
            <w:vAlign w:val="center"/>
            <w:hideMark/>
          </w:tcPr>
          <w:p w:rsidR="007A7178" w:rsidRPr="00EA70F6" w:rsidRDefault="007A7178" w:rsidP="00F6104E">
            <w:pPr>
              <w:spacing w:after="0" w:line="240" w:lineRule="auto"/>
              <w:jc w:val="right"/>
              <w:rPr>
                <w:rFonts w:ascii="Arial" w:eastAsia="Times New Roman" w:hAnsi="Arial" w:cs="Arial"/>
                <w:b/>
                <w:bCs/>
                <w:color w:val="000000"/>
                <w:sz w:val="16"/>
                <w:szCs w:val="16"/>
                <w:lang w:eastAsia="hr-HR"/>
              </w:rPr>
            </w:pPr>
            <w:r w:rsidRPr="00EA70F6">
              <w:rPr>
                <w:rFonts w:ascii="Arial" w:eastAsia="Times New Roman" w:hAnsi="Arial" w:cs="Arial"/>
                <w:b/>
                <w:bCs/>
                <w:color w:val="000000"/>
                <w:sz w:val="16"/>
                <w:szCs w:val="16"/>
                <w:lang w:eastAsia="hr-HR"/>
              </w:rPr>
              <w:t>17,744</w:t>
            </w:r>
          </w:p>
        </w:tc>
      </w:tr>
      <w:tr w:rsidR="007A7178" w:rsidRPr="00EA70F6" w:rsidTr="005A47C9">
        <w:trPr>
          <w:trHeight w:val="300"/>
          <w:jc w:val="center"/>
        </w:trPr>
        <w:tc>
          <w:tcPr>
            <w:tcW w:w="1314" w:type="dxa"/>
            <w:tcBorders>
              <w:top w:val="nil"/>
              <w:left w:val="single" w:sz="4" w:space="0" w:color="000080"/>
              <w:bottom w:val="single" w:sz="4" w:space="0" w:color="000080"/>
              <w:right w:val="single" w:sz="4" w:space="0" w:color="000080"/>
            </w:tcBorders>
            <w:shd w:val="clear" w:color="auto" w:fill="auto"/>
            <w:noWrap/>
            <w:vAlign w:val="center"/>
            <w:hideMark/>
          </w:tcPr>
          <w:p w:rsidR="007A7178" w:rsidRPr="00EA70F6" w:rsidRDefault="007A7178" w:rsidP="00EA70F6">
            <w:pPr>
              <w:spacing w:after="0" w:line="240" w:lineRule="auto"/>
              <w:ind w:firstLineChars="200" w:firstLine="320"/>
              <w:rPr>
                <w:rFonts w:ascii="Arial" w:eastAsia="Times New Roman" w:hAnsi="Arial" w:cs="Arial"/>
                <w:sz w:val="16"/>
                <w:szCs w:val="16"/>
                <w:lang w:eastAsia="hr-HR"/>
              </w:rPr>
            </w:pPr>
            <w:r w:rsidRPr="00EA70F6">
              <w:rPr>
                <w:rFonts w:ascii="Arial" w:eastAsia="Times New Roman" w:hAnsi="Arial" w:cs="Arial"/>
                <w:sz w:val="16"/>
                <w:szCs w:val="16"/>
                <w:lang w:eastAsia="hr-HR"/>
              </w:rPr>
              <w:t>- 1+2+8</w:t>
            </w:r>
          </w:p>
        </w:tc>
        <w:tc>
          <w:tcPr>
            <w:tcW w:w="885" w:type="dxa"/>
            <w:tcBorders>
              <w:top w:val="nil"/>
              <w:left w:val="nil"/>
              <w:bottom w:val="single" w:sz="4" w:space="0" w:color="000080"/>
              <w:right w:val="single" w:sz="4" w:space="0" w:color="000080"/>
            </w:tcBorders>
            <w:shd w:val="clear" w:color="auto" w:fill="auto"/>
            <w:noWrap/>
            <w:vAlign w:val="center"/>
            <w:hideMark/>
          </w:tcPr>
          <w:p w:rsidR="007A7178" w:rsidRPr="00EA70F6" w:rsidRDefault="007A7178" w:rsidP="00F6104E">
            <w:pPr>
              <w:spacing w:after="0" w:line="240" w:lineRule="auto"/>
              <w:jc w:val="right"/>
              <w:rPr>
                <w:rFonts w:ascii="Arial" w:eastAsia="Times New Roman" w:hAnsi="Arial" w:cs="Arial"/>
                <w:b/>
                <w:bCs/>
                <w:color w:val="000000"/>
                <w:sz w:val="16"/>
                <w:szCs w:val="16"/>
                <w:lang w:eastAsia="hr-HR"/>
              </w:rPr>
            </w:pPr>
            <w:r w:rsidRPr="00EA70F6">
              <w:rPr>
                <w:rFonts w:ascii="Arial" w:eastAsia="Times New Roman" w:hAnsi="Arial" w:cs="Arial"/>
                <w:b/>
                <w:bCs/>
                <w:color w:val="000000"/>
                <w:sz w:val="16"/>
                <w:szCs w:val="16"/>
                <w:lang w:eastAsia="hr-HR"/>
              </w:rPr>
              <w:t>102,204</w:t>
            </w:r>
          </w:p>
        </w:tc>
        <w:tc>
          <w:tcPr>
            <w:tcW w:w="1293" w:type="dxa"/>
            <w:tcBorders>
              <w:top w:val="nil"/>
              <w:left w:val="nil"/>
              <w:bottom w:val="single" w:sz="4" w:space="0" w:color="000080"/>
              <w:right w:val="single" w:sz="4" w:space="0" w:color="000080"/>
            </w:tcBorders>
            <w:shd w:val="clear" w:color="auto" w:fill="auto"/>
            <w:noWrap/>
            <w:vAlign w:val="center"/>
            <w:hideMark/>
          </w:tcPr>
          <w:p w:rsidR="007A7178" w:rsidRPr="00EA70F6" w:rsidRDefault="007A7178" w:rsidP="00F6104E">
            <w:pPr>
              <w:spacing w:after="0" w:line="240" w:lineRule="auto"/>
              <w:jc w:val="right"/>
              <w:rPr>
                <w:rFonts w:ascii="Arial" w:eastAsia="Times New Roman" w:hAnsi="Arial" w:cs="Arial"/>
                <w:b/>
                <w:bCs/>
                <w:color w:val="000000"/>
                <w:sz w:val="16"/>
                <w:szCs w:val="16"/>
                <w:lang w:eastAsia="hr-HR"/>
              </w:rPr>
            </w:pPr>
            <w:r w:rsidRPr="00EA70F6">
              <w:rPr>
                <w:rFonts w:ascii="Arial" w:eastAsia="Times New Roman" w:hAnsi="Arial" w:cs="Arial"/>
                <w:b/>
                <w:bCs/>
                <w:color w:val="000000"/>
                <w:sz w:val="16"/>
                <w:szCs w:val="16"/>
                <w:lang w:eastAsia="hr-HR"/>
              </w:rPr>
              <w:t>,086</w:t>
            </w:r>
          </w:p>
        </w:tc>
        <w:tc>
          <w:tcPr>
            <w:tcW w:w="971" w:type="dxa"/>
            <w:tcBorders>
              <w:top w:val="nil"/>
              <w:left w:val="nil"/>
              <w:bottom w:val="single" w:sz="4" w:space="0" w:color="000080"/>
              <w:right w:val="single" w:sz="4" w:space="0" w:color="000080"/>
            </w:tcBorders>
            <w:shd w:val="clear" w:color="auto" w:fill="auto"/>
            <w:noWrap/>
            <w:vAlign w:val="center"/>
            <w:hideMark/>
          </w:tcPr>
          <w:p w:rsidR="007A7178" w:rsidRPr="00EA70F6" w:rsidRDefault="007A7178" w:rsidP="00F6104E">
            <w:pPr>
              <w:spacing w:after="0" w:line="240" w:lineRule="auto"/>
              <w:jc w:val="right"/>
              <w:rPr>
                <w:rFonts w:ascii="Arial" w:eastAsia="Times New Roman" w:hAnsi="Arial" w:cs="Arial"/>
                <w:b/>
                <w:bCs/>
                <w:color w:val="000000"/>
                <w:sz w:val="16"/>
                <w:szCs w:val="16"/>
                <w:lang w:eastAsia="hr-HR"/>
              </w:rPr>
            </w:pPr>
            <w:r w:rsidRPr="00EA70F6">
              <w:rPr>
                <w:rFonts w:ascii="Arial" w:eastAsia="Times New Roman" w:hAnsi="Arial" w:cs="Arial"/>
                <w:b/>
                <w:bCs/>
                <w:color w:val="000000"/>
                <w:sz w:val="16"/>
                <w:szCs w:val="16"/>
                <w:lang w:eastAsia="hr-HR"/>
              </w:rPr>
              <w:t>84,099</w:t>
            </w:r>
          </w:p>
        </w:tc>
        <w:tc>
          <w:tcPr>
            <w:tcW w:w="1382" w:type="dxa"/>
            <w:tcBorders>
              <w:top w:val="nil"/>
              <w:left w:val="nil"/>
              <w:bottom w:val="single" w:sz="4" w:space="0" w:color="000080"/>
              <w:right w:val="single" w:sz="4" w:space="0" w:color="000080"/>
            </w:tcBorders>
            <w:shd w:val="clear" w:color="auto" w:fill="auto"/>
            <w:noWrap/>
            <w:vAlign w:val="center"/>
            <w:hideMark/>
          </w:tcPr>
          <w:p w:rsidR="007A7178" w:rsidRPr="00EA70F6" w:rsidRDefault="007A7178" w:rsidP="00F6104E">
            <w:pPr>
              <w:spacing w:after="0" w:line="240" w:lineRule="auto"/>
              <w:jc w:val="right"/>
              <w:rPr>
                <w:rFonts w:ascii="Arial" w:eastAsia="Times New Roman" w:hAnsi="Arial" w:cs="Arial"/>
                <w:b/>
                <w:bCs/>
                <w:color w:val="000000"/>
                <w:sz w:val="16"/>
                <w:szCs w:val="16"/>
                <w:lang w:eastAsia="hr-HR"/>
              </w:rPr>
            </w:pPr>
            <w:r w:rsidRPr="00EA70F6">
              <w:rPr>
                <w:rFonts w:ascii="Arial" w:eastAsia="Times New Roman" w:hAnsi="Arial" w:cs="Arial"/>
                <w:b/>
                <w:bCs/>
                <w:color w:val="000000"/>
                <w:sz w:val="16"/>
                <w:szCs w:val="16"/>
                <w:lang w:eastAsia="hr-HR"/>
              </w:rPr>
              <w:t>,31</w:t>
            </w:r>
          </w:p>
        </w:tc>
        <w:tc>
          <w:tcPr>
            <w:tcW w:w="882" w:type="dxa"/>
            <w:tcBorders>
              <w:top w:val="nil"/>
              <w:left w:val="nil"/>
              <w:bottom w:val="single" w:sz="4" w:space="0" w:color="000080"/>
              <w:right w:val="single" w:sz="4" w:space="0" w:color="000080"/>
            </w:tcBorders>
            <w:shd w:val="clear" w:color="auto" w:fill="auto"/>
            <w:noWrap/>
            <w:vAlign w:val="center"/>
            <w:hideMark/>
          </w:tcPr>
          <w:p w:rsidR="007A7178" w:rsidRPr="00EA70F6" w:rsidRDefault="007A7178" w:rsidP="00F6104E">
            <w:pPr>
              <w:spacing w:after="0" w:line="240" w:lineRule="auto"/>
              <w:jc w:val="right"/>
              <w:rPr>
                <w:rFonts w:ascii="Arial" w:eastAsia="Times New Roman" w:hAnsi="Arial" w:cs="Arial"/>
                <w:b/>
                <w:bCs/>
                <w:color w:val="000000"/>
                <w:sz w:val="16"/>
                <w:szCs w:val="16"/>
                <w:lang w:eastAsia="hr-HR"/>
              </w:rPr>
            </w:pPr>
            <w:r w:rsidRPr="00EA70F6">
              <w:rPr>
                <w:rFonts w:ascii="Arial" w:eastAsia="Times New Roman" w:hAnsi="Arial" w:cs="Arial"/>
                <w:b/>
                <w:bCs/>
                <w:color w:val="000000"/>
                <w:sz w:val="16"/>
                <w:szCs w:val="16"/>
                <w:lang w:eastAsia="hr-HR"/>
              </w:rPr>
              <w:t>17,709</w:t>
            </w:r>
          </w:p>
        </w:tc>
      </w:tr>
      <w:tr w:rsidR="007A7178" w:rsidRPr="00EA70F6" w:rsidTr="005A47C9">
        <w:trPr>
          <w:trHeight w:val="300"/>
          <w:jc w:val="center"/>
        </w:trPr>
        <w:tc>
          <w:tcPr>
            <w:tcW w:w="1314" w:type="dxa"/>
            <w:tcBorders>
              <w:top w:val="nil"/>
              <w:left w:val="single" w:sz="4" w:space="0" w:color="000080"/>
              <w:bottom w:val="single" w:sz="4" w:space="0" w:color="000080"/>
              <w:right w:val="single" w:sz="4" w:space="0" w:color="000080"/>
            </w:tcBorders>
            <w:shd w:val="clear" w:color="auto" w:fill="auto"/>
            <w:noWrap/>
            <w:vAlign w:val="center"/>
            <w:hideMark/>
          </w:tcPr>
          <w:p w:rsidR="007A7178" w:rsidRPr="00EA70F6" w:rsidRDefault="007A7178" w:rsidP="00EA70F6">
            <w:pPr>
              <w:spacing w:after="0" w:line="240" w:lineRule="auto"/>
              <w:ind w:firstLineChars="200" w:firstLine="320"/>
              <w:rPr>
                <w:rFonts w:ascii="Arial" w:eastAsia="Times New Roman" w:hAnsi="Arial" w:cs="Arial"/>
                <w:sz w:val="16"/>
                <w:szCs w:val="16"/>
                <w:lang w:eastAsia="hr-HR"/>
              </w:rPr>
            </w:pPr>
            <w:r w:rsidRPr="00EA70F6">
              <w:rPr>
                <w:rFonts w:ascii="Arial" w:eastAsia="Times New Roman" w:hAnsi="Arial" w:cs="Arial"/>
                <w:sz w:val="16"/>
                <w:szCs w:val="16"/>
                <w:lang w:eastAsia="hr-HR"/>
              </w:rPr>
              <w:t>- ostali izvori</w:t>
            </w:r>
          </w:p>
        </w:tc>
        <w:tc>
          <w:tcPr>
            <w:tcW w:w="885" w:type="dxa"/>
            <w:tcBorders>
              <w:top w:val="nil"/>
              <w:left w:val="nil"/>
              <w:bottom w:val="single" w:sz="4" w:space="0" w:color="000080"/>
              <w:right w:val="single" w:sz="4" w:space="0" w:color="000080"/>
            </w:tcBorders>
            <w:shd w:val="clear" w:color="auto" w:fill="auto"/>
            <w:noWrap/>
            <w:vAlign w:val="center"/>
            <w:hideMark/>
          </w:tcPr>
          <w:p w:rsidR="007A7178" w:rsidRPr="00EA70F6" w:rsidRDefault="007A7178" w:rsidP="00F6104E">
            <w:pPr>
              <w:spacing w:after="0" w:line="240" w:lineRule="auto"/>
              <w:jc w:val="right"/>
              <w:rPr>
                <w:rFonts w:ascii="Arial" w:eastAsia="Times New Roman" w:hAnsi="Arial" w:cs="Arial"/>
                <w:b/>
                <w:bCs/>
                <w:color w:val="000000"/>
                <w:sz w:val="16"/>
                <w:szCs w:val="16"/>
                <w:lang w:eastAsia="hr-HR"/>
              </w:rPr>
            </w:pPr>
            <w:r w:rsidRPr="00EA70F6">
              <w:rPr>
                <w:rFonts w:ascii="Arial" w:eastAsia="Times New Roman" w:hAnsi="Arial" w:cs="Arial"/>
                <w:b/>
                <w:bCs/>
                <w:color w:val="000000"/>
                <w:sz w:val="16"/>
                <w:szCs w:val="16"/>
                <w:lang w:eastAsia="hr-HR"/>
              </w:rPr>
              <w:t>4,403</w:t>
            </w:r>
          </w:p>
        </w:tc>
        <w:tc>
          <w:tcPr>
            <w:tcW w:w="1293" w:type="dxa"/>
            <w:tcBorders>
              <w:top w:val="nil"/>
              <w:left w:val="nil"/>
              <w:bottom w:val="single" w:sz="4" w:space="0" w:color="000080"/>
              <w:right w:val="single" w:sz="4" w:space="0" w:color="000080"/>
            </w:tcBorders>
            <w:shd w:val="clear" w:color="auto" w:fill="auto"/>
            <w:noWrap/>
            <w:vAlign w:val="center"/>
            <w:hideMark/>
          </w:tcPr>
          <w:p w:rsidR="007A7178" w:rsidRPr="00EA70F6" w:rsidRDefault="007A7178" w:rsidP="00F6104E">
            <w:pPr>
              <w:spacing w:after="0" w:line="240" w:lineRule="auto"/>
              <w:jc w:val="right"/>
              <w:rPr>
                <w:rFonts w:ascii="Arial" w:eastAsia="Times New Roman" w:hAnsi="Arial" w:cs="Arial"/>
                <w:b/>
                <w:bCs/>
                <w:color w:val="000000"/>
                <w:sz w:val="16"/>
                <w:szCs w:val="16"/>
                <w:lang w:eastAsia="hr-HR"/>
              </w:rPr>
            </w:pPr>
            <w:r w:rsidRPr="00EA70F6">
              <w:rPr>
                <w:rFonts w:ascii="Arial" w:eastAsia="Times New Roman" w:hAnsi="Arial" w:cs="Arial"/>
                <w:b/>
                <w:bCs/>
                <w:color w:val="000000"/>
                <w:sz w:val="16"/>
                <w:szCs w:val="16"/>
                <w:lang w:eastAsia="hr-HR"/>
              </w:rPr>
              <w:t>,01</w:t>
            </w:r>
          </w:p>
        </w:tc>
        <w:tc>
          <w:tcPr>
            <w:tcW w:w="971" w:type="dxa"/>
            <w:tcBorders>
              <w:top w:val="nil"/>
              <w:left w:val="nil"/>
              <w:bottom w:val="single" w:sz="4" w:space="0" w:color="000080"/>
              <w:right w:val="single" w:sz="4" w:space="0" w:color="000080"/>
            </w:tcBorders>
            <w:shd w:val="clear" w:color="auto" w:fill="auto"/>
            <w:noWrap/>
            <w:vAlign w:val="center"/>
            <w:hideMark/>
          </w:tcPr>
          <w:p w:rsidR="007A7178" w:rsidRPr="00EA70F6" w:rsidRDefault="007A7178" w:rsidP="00F6104E">
            <w:pPr>
              <w:spacing w:after="0" w:line="240" w:lineRule="auto"/>
              <w:jc w:val="right"/>
              <w:rPr>
                <w:rFonts w:ascii="Arial" w:eastAsia="Times New Roman" w:hAnsi="Arial" w:cs="Arial"/>
                <w:b/>
                <w:bCs/>
                <w:color w:val="000000"/>
                <w:sz w:val="16"/>
                <w:szCs w:val="16"/>
                <w:lang w:eastAsia="hr-HR"/>
              </w:rPr>
            </w:pPr>
            <w:r w:rsidRPr="00EA70F6">
              <w:rPr>
                <w:rFonts w:ascii="Arial" w:eastAsia="Times New Roman" w:hAnsi="Arial" w:cs="Arial"/>
                <w:b/>
                <w:bCs/>
                <w:color w:val="000000"/>
                <w:sz w:val="16"/>
                <w:szCs w:val="16"/>
                <w:lang w:eastAsia="hr-HR"/>
              </w:rPr>
              <w:t>,305</w:t>
            </w:r>
          </w:p>
        </w:tc>
        <w:tc>
          <w:tcPr>
            <w:tcW w:w="1382" w:type="dxa"/>
            <w:tcBorders>
              <w:top w:val="nil"/>
              <w:left w:val="nil"/>
              <w:bottom w:val="single" w:sz="4" w:space="0" w:color="000080"/>
              <w:right w:val="single" w:sz="4" w:space="0" w:color="000080"/>
            </w:tcBorders>
            <w:shd w:val="clear" w:color="auto" w:fill="auto"/>
            <w:noWrap/>
            <w:vAlign w:val="center"/>
            <w:hideMark/>
          </w:tcPr>
          <w:p w:rsidR="007A7178" w:rsidRPr="00EA70F6" w:rsidRDefault="007A7178" w:rsidP="00F6104E">
            <w:pPr>
              <w:spacing w:after="0" w:line="240" w:lineRule="auto"/>
              <w:jc w:val="right"/>
              <w:rPr>
                <w:rFonts w:ascii="Arial" w:eastAsia="Times New Roman" w:hAnsi="Arial" w:cs="Arial"/>
                <w:b/>
                <w:bCs/>
                <w:color w:val="000000"/>
                <w:sz w:val="16"/>
                <w:szCs w:val="16"/>
                <w:lang w:eastAsia="hr-HR"/>
              </w:rPr>
            </w:pPr>
            <w:r w:rsidRPr="00EA70F6">
              <w:rPr>
                <w:rFonts w:ascii="Arial" w:eastAsia="Times New Roman" w:hAnsi="Arial" w:cs="Arial"/>
                <w:b/>
                <w:bCs/>
                <w:color w:val="000000"/>
                <w:sz w:val="16"/>
                <w:szCs w:val="16"/>
                <w:lang w:eastAsia="hr-HR"/>
              </w:rPr>
              <w:t>4,053</w:t>
            </w:r>
          </w:p>
        </w:tc>
        <w:tc>
          <w:tcPr>
            <w:tcW w:w="882" w:type="dxa"/>
            <w:tcBorders>
              <w:top w:val="nil"/>
              <w:left w:val="nil"/>
              <w:bottom w:val="single" w:sz="4" w:space="0" w:color="000080"/>
              <w:right w:val="single" w:sz="4" w:space="0" w:color="000080"/>
            </w:tcBorders>
            <w:shd w:val="clear" w:color="auto" w:fill="auto"/>
            <w:noWrap/>
            <w:vAlign w:val="center"/>
            <w:hideMark/>
          </w:tcPr>
          <w:p w:rsidR="007A7178" w:rsidRPr="00EA70F6" w:rsidRDefault="007A7178" w:rsidP="00F6104E">
            <w:pPr>
              <w:spacing w:after="0" w:line="240" w:lineRule="auto"/>
              <w:jc w:val="right"/>
              <w:rPr>
                <w:rFonts w:ascii="Arial" w:eastAsia="Times New Roman" w:hAnsi="Arial" w:cs="Arial"/>
                <w:b/>
                <w:bCs/>
                <w:color w:val="000000"/>
                <w:sz w:val="16"/>
                <w:szCs w:val="16"/>
                <w:lang w:eastAsia="hr-HR"/>
              </w:rPr>
            </w:pPr>
            <w:r w:rsidRPr="00EA70F6">
              <w:rPr>
                <w:rFonts w:ascii="Arial" w:eastAsia="Times New Roman" w:hAnsi="Arial" w:cs="Arial"/>
                <w:b/>
                <w:bCs/>
                <w:color w:val="000000"/>
                <w:sz w:val="16"/>
                <w:szCs w:val="16"/>
                <w:lang w:eastAsia="hr-HR"/>
              </w:rPr>
              <w:t>,035</w:t>
            </w:r>
          </w:p>
        </w:tc>
      </w:tr>
    </w:tbl>
    <w:p w:rsidR="00033910" w:rsidRPr="00FA7F54" w:rsidRDefault="00033910" w:rsidP="00DA1FE9">
      <w:pPr>
        <w:pStyle w:val="Naslov2"/>
        <w:rPr>
          <w:rFonts w:ascii="Times New Roman" w:hAnsi="Times New Roman" w:cs="Times New Roman"/>
          <w:color w:val="auto"/>
          <w:sz w:val="22"/>
          <w:szCs w:val="22"/>
        </w:rPr>
      </w:pPr>
      <w:bookmarkStart w:id="133" w:name="_Toc434411204"/>
      <w:bookmarkStart w:id="134" w:name="_Toc436402347"/>
      <w:r w:rsidRPr="00FA7F54">
        <w:rPr>
          <w:rFonts w:ascii="Times New Roman" w:hAnsi="Times New Roman" w:cs="Times New Roman"/>
          <w:color w:val="auto"/>
          <w:sz w:val="22"/>
          <w:szCs w:val="22"/>
        </w:rPr>
        <w:lastRenderedPageBreak/>
        <w:t>TROŠKOVI SUDSKIH POSTUPAKA (3296)</w:t>
      </w:r>
      <w:bookmarkEnd w:id="133"/>
      <w:bookmarkEnd w:id="134"/>
    </w:p>
    <w:p w:rsidR="00033910" w:rsidRPr="00FA7F54" w:rsidRDefault="005C295D" w:rsidP="006E2F33">
      <w:pPr>
        <w:spacing w:after="0"/>
        <w:jc w:val="both"/>
        <w:rPr>
          <w:rFonts w:ascii="Times New Roman" w:hAnsi="Times New Roman" w:cs="Times New Roman"/>
          <w:b/>
        </w:rPr>
      </w:pPr>
      <w:r w:rsidRPr="00FA7F54">
        <w:rPr>
          <w:rFonts w:ascii="Times New Roman" w:hAnsi="Times New Roman" w:cs="Times New Roman"/>
        </w:rPr>
        <w:t>U financijskim izvještajima za 2013. i 2014. godinu nema evidentiranih rashoda na računu troškova sudskih postupaka jer je isti uveden novim Pravilnikom o proračunskom računovodstvu i računskom planu (Narodne novine, br. 124/14). U Državnom proračunu za 2015. godinu planirano je 9,7 mil.</w:t>
      </w:r>
      <w:r w:rsidR="005A47C9">
        <w:rPr>
          <w:rFonts w:ascii="Times New Roman" w:hAnsi="Times New Roman" w:cs="Times New Roman"/>
        </w:rPr>
        <w:t xml:space="preserve"> kuna</w:t>
      </w:r>
      <w:r w:rsidRPr="00FA7F54">
        <w:rPr>
          <w:rFonts w:ascii="Times New Roman" w:hAnsi="Times New Roman" w:cs="Times New Roman"/>
        </w:rPr>
        <w:t xml:space="preserve"> troškova sudskih postupaka od čega se 7,2 mil. </w:t>
      </w:r>
      <w:r w:rsidR="005A47C9">
        <w:rPr>
          <w:rFonts w:ascii="Times New Roman" w:hAnsi="Times New Roman" w:cs="Times New Roman"/>
        </w:rPr>
        <w:t xml:space="preserve">kuna </w:t>
      </w:r>
      <w:r w:rsidRPr="00FA7F54">
        <w:rPr>
          <w:rFonts w:ascii="Times New Roman" w:hAnsi="Times New Roman" w:cs="Times New Roman"/>
        </w:rPr>
        <w:t>odnosi na MORH</w:t>
      </w:r>
      <w:r w:rsidR="00062555" w:rsidRPr="00FA7F54">
        <w:rPr>
          <w:rFonts w:ascii="Times New Roman" w:hAnsi="Times New Roman" w:cs="Times New Roman"/>
        </w:rPr>
        <w:t xml:space="preserve">, a </w:t>
      </w:r>
      <w:r w:rsidRPr="00FA7F54">
        <w:rPr>
          <w:rFonts w:ascii="Times New Roman" w:hAnsi="Times New Roman" w:cs="Times New Roman"/>
        </w:rPr>
        <w:t>1,5 mil.</w:t>
      </w:r>
      <w:r w:rsidR="005A47C9">
        <w:rPr>
          <w:rFonts w:ascii="Times New Roman" w:hAnsi="Times New Roman" w:cs="Times New Roman"/>
        </w:rPr>
        <w:t xml:space="preserve"> kuna</w:t>
      </w:r>
      <w:r w:rsidRPr="00FA7F54">
        <w:rPr>
          <w:rFonts w:ascii="Times New Roman" w:hAnsi="Times New Roman" w:cs="Times New Roman"/>
        </w:rPr>
        <w:t xml:space="preserve"> na Ministarstvo pomorstva, prometa i infrastrukture.</w:t>
      </w:r>
    </w:p>
    <w:p w:rsidR="00D06F18" w:rsidRPr="00FA7F54" w:rsidRDefault="006E18A6" w:rsidP="00D06F18">
      <w:pPr>
        <w:pStyle w:val="Naslov2"/>
        <w:rPr>
          <w:rFonts w:ascii="Times New Roman" w:hAnsi="Times New Roman" w:cs="Times New Roman"/>
          <w:color w:val="auto"/>
          <w:sz w:val="22"/>
          <w:szCs w:val="22"/>
        </w:rPr>
      </w:pPr>
      <w:bookmarkStart w:id="135" w:name="_Toc434411205"/>
      <w:bookmarkStart w:id="136" w:name="_Toc436402348"/>
      <w:r w:rsidRPr="00FA7F54">
        <w:rPr>
          <w:rFonts w:ascii="Times New Roman" w:hAnsi="Times New Roman" w:cs="Times New Roman"/>
          <w:color w:val="auto"/>
          <w:sz w:val="22"/>
          <w:szCs w:val="22"/>
        </w:rPr>
        <w:t>OSTALI NESPOMENUTI RASHODI POSLOVANJA</w:t>
      </w:r>
      <w:r w:rsidR="00D06F18" w:rsidRPr="00FA7F54">
        <w:rPr>
          <w:rFonts w:ascii="Times New Roman" w:hAnsi="Times New Roman" w:cs="Times New Roman"/>
          <w:color w:val="auto"/>
          <w:sz w:val="22"/>
          <w:szCs w:val="22"/>
        </w:rPr>
        <w:t xml:space="preserve"> </w:t>
      </w:r>
      <w:r w:rsidRPr="00FA7F54">
        <w:rPr>
          <w:rFonts w:ascii="Times New Roman" w:hAnsi="Times New Roman" w:cs="Times New Roman"/>
          <w:color w:val="auto"/>
          <w:sz w:val="22"/>
          <w:szCs w:val="22"/>
        </w:rPr>
        <w:t>(3299</w:t>
      </w:r>
      <w:r w:rsidR="00D06F18" w:rsidRPr="00FA7F54">
        <w:rPr>
          <w:rFonts w:ascii="Times New Roman" w:hAnsi="Times New Roman" w:cs="Times New Roman"/>
          <w:color w:val="auto"/>
          <w:sz w:val="22"/>
          <w:szCs w:val="22"/>
        </w:rPr>
        <w:t>)</w:t>
      </w:r>
      <w:bookmarkEnd w:id="135"/>
      <w:bookmarkEnd w:id="136"/>
    </w:p>
    <w:p w:rsidR="00360125" w:rsidRPr="002E6F9D" w:rsidRDefault="0019764D" w:rsidP="002E6F9D">
      <w:pPr>
        <w:spacing w:line="240" w:lineRule="auto"/>
        <w:jc w:val="both"/>
        <w:rPr>
          <w:rFonts w:ascii="Times New Roman" w:hAnsi="Times New Roman" w:cs="Times New Roman"/>
        </w:rPr>
      </w:pPr>
      <w:r w:rsidRPr="00FA7F54">
        <w:rPr>
          <w:rFonts w:ascii="Times New Roman" w:hAnsi="Times New Roman" w:cs="Times New Roman"/>
        </w:rPr>
        <w:t>Prema iskazanim podacima u financijskim izvještajima ostali nespomenuti rashodi poslovanja u 2013. godini iznosili su 1,2 mlrd. kuna, a u 2014. godini 1,</w:t>
      </w:r>
      <w:proofErr w:type="spellStart"/>
      <w:r w:rsidRPr="00FA7F54">
        <w:rPr>
          <w:rFonts w:ascii="Times New Roman" w:hAnsi="Times New Roman" w:cs="Times New Roman"/>
        </w:rPr>
        <w:t>1</w:t>
      </w:r>
      <w:proofErr w:type="spellEnd"/>
      <w:r w:rsidRPr="00FA7F54">
        <w:rPr>
          <w:rFonts w:ascii="Times New Roman" w:hAnsi="Times New Roman" w:cs="Times New Roman"/>
        </w:rPr>
        <w:t xml:space="preserve"> mlrd. kuna. U državnom proračunu za 2015. godinu planirano je </w:t>
      </w:r>
      <w:r w:rsidR="00092EA1" w:rsidRPr="00FA7F54">
        <w:rPr>
          <w:rFonts w:ascii="Times New Roman" w:hAnsi="Times New Roman" w:cs="Times New Roman"/>
        </w:rPr>
        <w:t>478,4</w:t>
      </w:r>
      <w:r w:rsidRPr="00FA7F54">
        <w:rPr>
          <w:rFonts w:ascii="Times New Roman" w:hAnsi="Times New Roman" w:cs="Times New Roman"/>
        </w:rPr>
        <w:t xml:space="preserve"> mil. kuna navedenih rashoda od čega se </w:t>
      </w:r>
      <w:r w:rsidR="00092EA1" w:rsidRPr="00FA7F54">
        <w:rPr>
          <w:rFonts w:ascii="Times New Roman" w:hAnsi="Times New Roman" w:cs="Times New Roman"/>
        </w:rPr>
        <w:t>306</w:t>
      </w:r>
      <w:r w:rsidR="005A47C9">
        <w:rPr>
          <w:rFonts w:ascii="Times New Roman" w:hAnsi="Times New Roman" w:cs="Times New Roman"/>
        </w:rPr>
        <w:t>,0</w:t>
      </w:r>
      <w:r w:rsidRPr="00FA7F54">
        <w:rPr>
          <w:rFonts w:ascii="Times New Roman" w:hAnsi="Times New Roman" w:cs="Times New Roman"/>
        </w:rPr>
        <w:t xml:space="preserve"> mil</w:t>
      </w:r>
      <w:r w:rsidR="00CB056A" w:rsidRPr="00FA7F54">
        <w:rPr>
          <w:rFonts w:ascii="Times New Roman" w:hAnsi="Times New Roman" w:cs="Times New Roman"/>
        </w:rPr>
        <w:t xml:space="preserve">. </w:t>
      </w:r>
      <w:r w:rsidR="005A47C9">
        <w:rPr>
          <w:rFonts w:ascii="Times New Roman" w:hAnsi="Times New Roman" w:cs="Times New Roman"/>
        </w:rPr>
        <w:t xml:space="preserve">kuna </w:t>
      </w:r>
      <w:r w:rsidR="00CB056A" w:rsidRPr="00FA7F54">
        <w:rPr>
          <w:rFonts w:ascii="Times New Roman" w:hAnsi="Times New Roman" w:cs="Times New Roman"/>
        </w:rPr>
        <w:t>financira iz izvora u limitu.</w:t>
      </w:r>
    </w:p>
    <w:p w:rsidR="0019764D" w:rsidRPr="006B7B79" w:rsidRDefault="009835A2" w:rsidP="006B7B79">
      <w:pPr>
        <w:pStyle w:val="Opisslike"/>
        <w:spacing w:after="0"/>
        <w:jc w:val="both"/>
        <w:rPr>
          <w:rFonts w:ascii="Times New Roman" w:hAnsi="Times New Roman" w:cs="Times New Roman"/>
          <w:sz w:val="20"/>
          <w:szCs w:val="20"/>
        </w:rPr>
      </w:pPr>
      <w:bookmarkStart w:id="137" w:name="_Toc436402311"/>
      <w:r w:rsidRPr="006B7B79">
        <w:rPr>
          <w:rFonts w:ascii="Times New Roman" w:hAnsi="Times New Roman" w:cs="Times New Roman"/>
          <w:sz w:val="20"/>
          <w:szCs w:val="20"/>
        </w:rPr>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64</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9C4E2D" w:rsidRPr="006B7B79">
        <w:rPr>
          <w:rFonts w:ascii="Times New Roman" w:hAnsi="Times New Roman" w:cs="Times New Roman"/>
          <w:sz w:val="20"/>
          <w:szCs w:val="20"/>
        </w:rPr>
        <w:t xml:space="preserve"> Ostali nespomenuti rashodi poslovanja prema podacima iskazanim u financijskim izvještajima proračunskih i izvanproračunskih korisnika za 2013. i 2014. godinu te planu Državnog proračuna za 2015. godinu</w:t>
      </w:r>
      <w:bookmarkEnd w:id="137"/>
    </w:p>
    <w:p w:rsidR="0019764D" w:rsidRPr="00FA7F54" w:rsidRDefault="004A754C" w:rsidP="0071001A">
      <w:r w:rsidRPr="004A754C">
        <w:rPr>
          <w:noProof/>
          <w:lang w:eastAsia="hr-HR"/>
        </w:rPr>
        <w:drawing>
          <wp:inline distT="0" distB="0" distL="0" distR="0" wp14:anchorId="21D04CB5" wp14:editId="4F1B8F13">
            <wp:extent cx="5760720" cy="3120390"/>
            <wp:effectExtent l="0" t="0" r="0" b="3810"/>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0720" cy="3120390"/>
                    </a:xfrm>
                    <a:prstGeom prst="rect">
                      <a:avLst/>
                    </a:prstGeom>
                    <a:noFill/>
                    <a:ln>
                      <a:noFill/>
                    </a:ln>
                  </pic:spPr>
                </pic:pic>
              </a:graphicData>
            </a:graphic>
          </wp:inline>
        </w:drawing>
      </w:r>
    </w:p>
    <w:p w:rsidR="00CB056A" w:rsidRPr="00FA7F54" w:rsidRDefault="00AF710F" w:rsidP="00EF2747">
      <w:pPr>
        <w:spacing w:line="240" w:lineRule="auto"/>
        <w:jc w:val="both"/>
        <w:rPr>
          <w:rFonts w:ascii="Times New Roman" w:hAnsi="Times New Roman" w:cs="Times New Roman"/>
        </w:rPr>
      </w:pPr>
      <w:r w:rsidRPr="00FA7F54">
        <w:rPr>
          <w:rFonts w:ascii="Times New Roman" w:hAnsi="Times New Roman" w:cs="Times New Roman"/>
        </w:rPr>
        <w:t>U okviru računa 3299 evidentiraju se rashodi protokola (vijenci, cvijeće, svijeće i slično) i ostali nespomenuti rashodi poslovanja. Uvidom u specifikaciju evidentiranih rashoda u 2014. godini vidljivo je da se najveći dio rashoda odnosi</w:t>
      </w:r>
      <w:r w:rsidR="00CB056A" w:rsidRPr="00FA7F54">
        <w:rPr>
          <w:rFonts w:ascii="Times New Roman" w:hAnsi="Times New Roman" w:cs="Times New Roman"/>
        </w:rPr>
        <w:t xml:space="preserve"> na izvanproračunske korisnike, ustanove u visokom obrazovanju, tijela izvršne vlasti i agencije. Najveći udio iskazanih ostalih nespomenutih rashoda ima Fond za zaštitu okoliša i energetsku učinkovitost (692 mil.</w:t>
      </w:r>
      <w:r w:rsidR="007412BF">
        <w:rPr>
          <w:rFonts w:ascii="Times New Roman" w:hAnsi="Times New Roman" w:cs="Times New Roman"/>
        </w:rPr>
        <w:t xml:space="preserve"> kuna</w:t>
      </w:r>
      <w:r w:rsidR="00CB056A" w:rsidRPr="00FA7F54">
        <w:rPr>
          <w:rFonts w:ascii="Times New Roman" w:hAnsi="Times New Roman" w:cs="Times New Roman"/>
        </w:rPr>
        <w:t>) koji na spomenutom računu iskazuje postupanje s otpadom. Sveučilište u Zagrebu (155 mil.</w:t>
      </w:r>
      <w:r w:rsidR="007412BF">
        <w:rPr>
          <w:rFonts w:ascii="Times New Roman" w:hAnsi="Times New Roman" w:cs="Times New Roman"/>
        </w:rPr>
        <w:t xml:space="preserve"> kuna</w:t>
      </w:r>
      <w:r w:rsidR="00CB056A" w:rsidRPr="00FA7F54">
        <w:rPr>
          <w:rFonts w:ascii="Times New Roman" w:hAnsi="Times New Roman" w:cs="Times New Roman"/>
        </w:rPr>
        <w:t>) na ovim rashodima iskazuju prijenose svojim sastavnicama.</w:t>
      </w:r>
      <w:r w:rsidR="00EF2747" w:rsidRPr="00FA7F54">
        <w:rPr>
          <w:rFonts w:ascii="Times New Roman" w:hAnsi="Times New Roman" w:cs="Times New Roman"/>
        </w:rPr>
        <w:t xml:space="preserve"> Hrvatski audiovizualni centar (69 mil.</w:t>
      </w:r>
      <w:r w:rsidR="007412BF">
        <w:rPr>
          <w:rFonts w:ascii="Times New Roman" w:hAnsi="Times New Roman" w:cs="Times New Roman"/>
        </w:rPr>
        <w:t xml:space="preserve"> kuna</w:t>
      </w:r>
      <w:r w:rsidR="00EF2747" w:rsidRPr="00FA7F54">
        <w:rPr>
          <w:rFonts w:ascii="Times New Roman" w:hAnsi="Times New Roman" w:cs="Times New Roman"/>
        </w:rPr>
        <w:t>) iskazao je na ovom računu ugovore i poticaje.</w:t>
      </w:r>
      <w:r w:rsidR="007F180C" w:rsidRPr="00FA7F54">
        <w:rPr>
          <w:rFonts w:ascii="Times New Roman" w:hAnsi="Times New Roman" w:cs="Times New Roman"/>
        </w:rPr>
        <w:t xml:space="preserve"> Ministarstvo znanosti, obrazovanja i sporta</w:t>
      </w:r>
      <w:r w:rsidR="00A42FE9" w:rsidRPr="00FA7F54">
        <w:rPr>
          <w:rFonts w:ascii="Times New Roman" w:hAnsi="Times New Roman" w:cs="Times New Roman"/>
        </w:rPr>
        <w:t xml:space="preserve"> (54 mil.</w:t>
      </w:r>
      <w:r w:rsidR="007412BF">
        <w:rPr>
          <w:rFonts w:ascii="Times New Roman" w:hAnsi="Times New Roman" w:cs="Times New Roman"/>
        </w:rPr>
        <w:t xml:space="preserve"> kuna</w:t>
      </w:r>
      <w:r w:rsidR="00A42FE9" w:rsidRPr="00FA7F54">
        <w:rPr>
          <w:rFonts w:ascii="Times New Roman" w:hAnsi="Times New Roman" w:cs="Times New Roman"/>
        </w:rPr>
        <w:t>)</w:t>
      </w:r>
      <w:r w:rsidR="00FD7CFD" w:rsidRPr="00FA7F54">
        <w:rPr>
          <w:rFonts w:ascii="Times New Roman" w:hAnsi="Times New Roman" w:cs="Times New Roman"/>
        </w:rPr>
        <w:t xml:space="preserve"> na ovom računu iskazuje ugovorno financiranje znanstvene djelatnosti.</w:t>
      </w:r>
      <w:r w:rsidR="007F180C" w:rsidRPr="00FA7F54">
        <w:rPr>
          <w:rFonts w:ascii="Times New Roman" w:hAnsi="Times New Roman" w:cs="Times New Roman"/>
        </w:rPr>
        <w:t xml:space="preserve"> </w:t>
      </w:r>
      <w:r w:rsidR="00CB056A" w:rsidRPr="00FA7F54">
        <w:rPr>
          <w:rFonts w:ascii="Times New Roman" w:hAnsi="Times New Roman" w:cs="Times New Roman"/>
        </w:rPr>
        <w:t xml:space="preserve"> HZZO (29 mil.</w:t>
      </w:r>
      <w:r w:rsidR="007412BF">
        <w:rPr>
          <w:rFonts w:ascii="Times New Roman" w:hAnsi="Times New Roman" w:cs="Times New Roman"/>
        </w:rPr>
        <w:t xml:space="preserve"> kuna</w:t>
      </w:r>
      <w:r w:rsidR="00CB056A" w:rsidRPr="00FA7F54">
        <w:rPr>
          <w:rFonts w:ascii="Times New Roman" w:hAnsi="Times New Roman" w:cs="Times New Roman"/>
        </w:rPr>
        <w:t>) je na ovom računu iskazao ispravak vrijednosti-potraživanja starija od 90 dana u Dopunskom zdravstvenom osiguranju.</w:t>
      </w:r>
      <w:r w:rsidR="004B0510" w:rsidRPr="00FA7F54">
        <w:rPr>
          <w:rFonts w:ascii="Times New Roman" w:hAnsi="Times New Roman" w:cs="Times New Roman"/>
        </w:rPr>
        <w:t xml:space="preserve"> Plitvička jezera (8,7 mil.</w:t>
      </w:r>
      <w:r w:rsidR="007412BF">
        <w:rPr>
          <w:rFonts w:ascii="Times New Roman" w:hAnsi="Times New Roman" w:cs="Times New Roman"/>
        </w:rPr>
        <w:t xml:space="preserve"> kuna</w:t>
      </w:r>
      <w:r w:rsidR="004B0510" w:rsidRPr="00FA7F54">
        <w:rPr>
          <w:rFonts w:ascii="Times New Roman" w:hAnsi="Times New Roman" w:cs="Times New Roman"/>
        </w:rPr>
        <w:t>) iskazala su na ovom računu troškove popusta (</w:t>
      </w:r>
      <w:proofErr w:type="spellStart"/>
      <w:r w:rsidR="004B0510" w:rsidRPr="00FA7F54">
        <w:rPr>
          <w:rFonts w:ascii="Times New Roman" w:hAnsi="Times New Roman" w:cs="Times New Roman"/>
        </w:rPr>
        <w:t>gratise</w:t>
      </w:r>
      <w:proofErr w:type="spellEnd"/>
      <w:r w:rsidR="004B0510" w:rsidRPr="00FA7F54">
        <w:rPr>
          <w:rFonts w:ascii="Times New Roman" w:hAnsi="Times New Roman" w:cs="Times New Roman"/>
        </w:rPr>
        <w:t>).</w:t>
      </w:r>
    </w:p>
    <w:p w:rsidR="002E6F9D" w:rsidRDefault="002E6F9D" w:rsidP="006B7B79">
      <w:pPr>
        <w:pStyle w:val="Opisslike"/>
        <w:spacing w:after="0"/>
        <w:jc w:val="both"/>
        <w:rPr>
          <w:rFonts w:ascii="Times New Roman" w:hAnsi="Times New Roman" w:cs="Times New Roman"/>
          <w:sz w:val="20"/>
          <w:szCs w:val="20"/>
        </w:rPr>
      </w:pPr>
    </w:p>
    <w:p w:rsidR="002E6F9D" w:rsidRDefault="002E6F9D" w:rsidP="006B7B79">
      <w:pPr>
        <w:pStyle w:val="Opisslike"/>
        <w:spacing w:after="0"/>
        <w:jc w:val="both"/>
        <w:rPr>
          <w:rFonts w:ascii="Times New Roman" w:hAnsi="Times New Roman" w:cs="Times New Roman"/>
          <w:sz w:val="20"/>
          <w:szCs w:val="20"/>
        </w:rPr>
      </w:pPr>
    </w:p>
    <w:p w:rsidR="002E6F9D" w:rsidRDefault="002E6F9D" w:rsidP="006B7B79">
      <w:pPr>
        <w:pStyle w:val="Opisslike"/>
        <w:spacing w:after="0"/>
        <w:jc w:val="both"/>
        <w:rPr>
          <w:rFonts w:ascii="Times New Roman" w:hAnsi="Times New Roman" w:cs="Times New Roman"/>
          <w:sz w:val="20"/>
          <w:szCs w:val="20"/>
        </w:rPr>
      </w:pPr>
    </w:p>
    <w:p w:rsidR="002E6F9D" w:rsidRDefault="002E6F9D" w:rsidP="006B7B79">
      <w:pPr>
        <w:pStyle w:val="Opisslike"/>
        <w:spacing w:after="0"/>
        <w:jc w:val="both"/>
        <w:rPr>
          <w:rFonts w:ascii="Times New Roman" w:hAnsi="Times New Roman" w:cs="Times New Roman"/>
          <w:sz w:val="20"/>
          <w:szCs w:val="20"/>
        </w:rPr>
      </w:pPr>
    </w:p>
    <w:p w:rsidR="002E6F9D" w:rsidRDefault="002E6F9D" w:rsidP="006B7B79">
      <w:pPr>
        <w:pStyle w:val="Opisslike"/>
        <w:spacing w:after="0"/>
        <w:jc w:val="both"/>
        <w:rPr>
          <w:rFonts w:ascii="Times New Roman" w:hAnsi="Times New Roman" w:cs="Times New Roman"/>
          <w:sz w:val="20"/>
          <w:szCs w:val="20"/>
        </w:rPr>
      </w:pPr>
    </w:p>
    <w:p w:rsidR="002E6F9D" w:rsidRDefault="002E6F9D" w:rsidP="006B7B79">
      <w:pPr>
        <w:pStyle w:val="Opisslike"/>
        <w:spacing w:after="0"/>
        <w:jc w:val="both"/>
        <w:rPr>
          <w:rFonts w:ascii="Times New Roman" w:hAnsi="Times New Roman" w:cs="Times New Roman"/>
          <w:sz w:val="20"/>
          <w:szCs w:val="20"/>
        </w:rPr>
      </w:pPr>
    </w:p>
    <w:p w:rsidR="009835A2" w:rsidRPr="007412BF" w:rsidRDefault="009835A2" w:rsidP="006B7B79">
      <w:pPr>
        <w:pStyle w:val="Opisslike"/>
        <w:spacing w:after="0"/>
        <w:jc w:val="both"/>
        <w:rPr>
          <w:rFonts w:ascii="Times New Roman" w:hAnsi="Times New Roman" w:cs="Times New Roman"/>
          <w:sz w:val="20"/>
          <w:szCs w:val="20"/>
        </w:rPr>
      </w:pPr>
      <w:bookmarkStart w:id="138" w:name="_Toc436402312"/>
      <w:r w:rsidRPr="006B7B79">
        <w:rPr>
          <w:rFonts w:ascii="Times New Roman" w:hAnsi="Times New Roman" w:cs="Times New Roman"/>
          <w:sz w:val="20"/>
          <w:szCs w:val="20"/>
        </w:rPr>
        <w:lastRenderedPageBreak/>
        <w:t xml:space="preserve">Tabela </w:t>
      </w:r>
      <w:r w:rsidR="002D0343" w:rsidRPr="006B7B79">
        <w:rPr>
          <w:rFonts w:ascii="Times New Roman" w:hAnsi="Times New Roman" w:cs="Times New Roman"/>
          <w:sz w:val="20"/>
          <w:szCs w:val="20"/>
        </w:rPr>
        <w:fldChar w:fldCharType="begin"/>
      </w:r>
      <w:r w:rsidRPr="006B7B79">
        <w:rPr>
          <w:rFonts w:ascii="Times New Roman" w:hAnsi="Times New Roman" w:cs="Times New Roman"/>
          <w:sz w:val="20"/>
          <w:szCs w:val="20"/>
        </w:rPr>
        <w:instrText xml:space="preserve"> SEQ Tabela \* ARABIC </w:instrText>
      </w:r>
      <w:r w:rsidR="002D0343" w:rsidRPr="006B7B79">
        <w:rPr>
          <w:rFonts w:ascii="Times New Roman" w:hAnsi="Times New Roman" w:cs="Times New Roman"/>
          <w:sz w:val="20"/>
          <w:szCs w:val="20"/>
        </w:rPr>
        <w:fldChar w:fldCharType="separate"/>
      </w:r>
      <w:r w:rsidR="00F50808">
        <w:rPr>
          <w:rFonts w:ascii="Times New Roman" w:hAnsi="Times New Roman" w:cs="Times New Roman"/>
          <w:noProof/>
          <w:sz w:val="20"/>
          <w:szCs w:val="20"/>
        </w:rPr>
        <w:t>65</w:t>
      </w:r>
      <w:r w:rsidR="002D0343" w:rsidRPr="006B7B79">
        <w:rPr>
          <w:rFonts w:ascii="Times New Roman" w:hAnsi="Times New Roman" w:cs="Times New Roman"/>
          <w:sz w:val="20"/>
          <w:szCs w:val="20"/>
        </w:rPr>
        <w:fldChar w:fldCharType="end"/>
      </w:r>
      <w:r w:rsidRPr="006B7B79">
        <w:rPr>
          <w:rFonts w:ascii="Times New Roman" w:hAnsi="Times New Roman" w:cs="Times New Roman"/>
          <w:sz w:val="20"/>
          <w:szCs w:val="20"/>
        </w:rPr>
        <w:t>:</w:t>
      </w:r>
      <w:r w:rsidR="005861F0" w:rsidRPr="006B7B79">
        <w:rPr>
          <w:rFonts w:ascii="Times New Roman" w:hAnsi="Times New Roman" w:cs="Times New Roman"/>
          <w:sz w:val="20"/>
          <w:szCs w:val="20"/>
        </w:rPr>
        <w:t xml:space="preserve"> Ostali nespomenuti rashodi poslovanja prema podacima iskazanim u državnom proračunu – izvršenje za 2014. (u mil.</w:t>
      </w:r>
      <w:r w:rsidR="007412BF">
        <w:rPr>
          <w:rFonts w:ascii="Times New Roman" w:hAnsi="Times New Roman" w:cs="Times New Roman"/>
          <w:sz w:val="20"/>
          <w:szCs w:val="20"/>
        </w:rPr>
        <w:t xml:space="preserve"> kuna</w:t>
      </w:r>
      <w:r w:rsidR="005861F0" w:rsidRPr="006B7B79">
        <w:rPr>
          <w:rFonts w:ascii="Times New Roman" w:hAnsi="Times New Roman" w:cs="Times New Roman"/>
          <w:sz w:val="20"/>
          <w:szCs w:val="20"/>
        </w:rPr>
        <w:t>)</w:t>
      </w:r>
      <w:bookmarkEnd w:id="138"/>
    </w:p>
    <w:tbl>
      <w:tblPr>
        <w:tblW w:w="4950" w:type="dxa"/>
        <w:jc w:val="center"/>
        <w:tblInd w:w="93" w:type="dxa"/>
        <w:tblLayout w:type="fixed"/>
        <w:tblLook w:val="04A0" w:firstRow="1" w:lastRow="0" w:firstColumn="1" w:lastColumn="0" w:noHBand="0" w:noVBand="1"/>
      </w:tblPr>
      <w:tblGrid>
        <w:gridCol w:w="1433"/>
        <w:gridCol w:w="1133"/>
        <w:gridCol w:w="1251"/>
        <w:gridCol w:w="1133"/>
      </w:tblGrid>
      <w:tr w:rsidR="00CB056A" w:rsidRPr="005861F0" w:rsidTr="007412BF">
        <w:trPr>
          <w:trHeight w:val="1110"/>
          <w:jc w:val="center"/>
        </w:trPr>
        <w:tc>
          <w:tcPr>
            <w:tcW w:w="1433" w:type="dxa"/>
            <w:tcBorders>
              <w:top w:val="single" w:sz="4" w:space="0" w:color="000080"/>
              <w:left w:val="single" w:sz="4" w:space="0" w:color="000080"/>
              <w:bottom w:val="single" w:sz="4" w:space="0" w:color="000080"/>
              <w:right w:val="single" w:sz="4" w:space="0" w:color="000080"/>
            </w:tcBorders>
            <w:shd w:val="clear" w:color="000000" w:fill="DCE6F1"/>
            <w:vAlign w:val="center"/>
            <w:hideMark/>
          </w:tcPr>
          <w:p w:rsidR="00CB056A" w:rsidRPr="005861F0" w:rsidRDefault="00CB056A" w:rsidP="007412BF">
            <w:pPr>
              <w:spacing w:after="0" w:line="240" w:lineRule="auto"/>
              <w:jc w:val="center"/>
              <w:rPr>
                <w:rFonts w:ascii="Arial" w:eastAsia="Times New Roman" w:hAnsi="Arial" w:cs="Arial"/>
                <w:b/>
                <w:bCs/>
                <w:sz w:val="16"/>
                <w:szCs w:val="16"/>
                <w:lang w:eastAsia="hr-HR"/>
              </w:rPr>
            </w:pPr>
            <w:r w:rsidRPr="005861F0">
              <w:rPr>
                <w:rFonts w:ascii="Arial" w:eastAsia="Times New Roman" w:hAnsi="Arial" w:cs="Arial"/>
                <w:b/>
                <w:bCs/>
                <w:sz w:val="16"/>
                <w:szCs w:val="16"/>
                <w:lang w:eastAsia="hr-HR"/>
              </w:rPr>
              <w:t>Izvršenje 2014.</w:t>
            </w:r>
          </w:p>
        </w:tc>
        <w:tc>
          <w:tcPr>
            <w:tcW w:w="1133" w:type="dxa"/>
            <w:tcBorders>
              <w:top w:val="single" w:sz="4" w:space="0" w:color="000080"/>
              <w:left w:val="nil"/>
              <w:bottom w:val="single" w:sz="4" w:space="0" w:color="000080"/>
              <w:right w:val="single" w:sz="4" w:space="0" w:color="000080"/>
            </w:tcBorders>
            <w:shd w:val="clear" w:color="000000" w:fill="DCE6F1"/>
            <w:vAlign w:val="center"/>
            <w:hideMark/>
          </w:tcPr>
          <w:p w:rsidR="00CB056A" w:rsidRPr="005861F0" w:rsidRDefault="00CB056A" w:rsidP="007412BF">
            <w:pPr>
              <w:spacing w:after="0" w:line="240" w:lineRule="auto"/>
              <w:jc w:val="center"/>
              <w:rPr>
                <w:rFonts w:ascii="Arial" w:eastAsia="Times New Roman" w:hAnsi="Arial" w:cs="Arial"/>
                <w:color w:val="000000"/>
                <w:sz w:val="16"/>
                <w:szCs w:val="16"/>
                <w:lang w:eastAsia="hr-HR"/>
              </w:rPr>
            </w:pPr>
            <w:r w:rsidRPr="005861F0">
              <w:rPr>
                <w:rFonts w:ascii="Arial" w:eastAsia="Times New Roman" w:hAnsi="Arial" w:cs="Arial"/>
                <w:color w:val="000000"/>
                <w:sz w:val="16"/>
                <w:szCs w:val="16"/>
                <w:lang w:eastAsia="hr-HR"/>
              </w:rPr>
              <w:t>Ostali nespomenuti rashodi poslovanja</w:t>
            </w:r>
          </w:p>
        </w:tc>
        <w:tc>
          <w:tcPr>
            <w:tcW w:w="1251" w:type="dxa"/>
            <w:tcBorders>
              <w:top w:val="single" w:sz="4" w:space="0" w:color="000080"/>
              <w:left w:val="nil"/>
              <w:bottom w:val="single" w:sz="4" w:space="0" w:color="000080"/>
              <w:right w:val="single" w:sz="4" w:space="0" w:color="000080"/>
            </w:tcBorders>
            <w:shd w:val="clear" w:color="000000" w:fill="DCE6F1"/>
            <w:vAlign w:val="center"/>
            <w:hideMark/>
          </w:tcPr>
          <w:p w:rsidR="00CB056A" w:rsidRPr="005861F0" w:rsidRDefault="00CB056A" w:rsidP="007412BF">
            <w:pPr>
              <w:spacing w:after="0" w:line="240" w:lineRule="auto"/>
              <w:jc w:val="center"/>
              <w:rPr>
                <w:rFonts w:ascii="Arial" w:eastAsia="Times New Roman" w:hAnsi="Arial" w:cs="Arial"/>
                <w:color w:val="000000"/>
                <w:sz w:val="16"/>
                <w:szCs w:val="16"/>
                <w:lang w:eastAsia="hr-HR"/>
              </w:rPr>
            </w:pPr>
            <w:r w:rsidRPr="005861F0">
              <w:rPr>
                <w:rFonts w:ascii="Arial" w:eastAsia="Times New Roman" w:hAnsi="Arial" w:cs="Arial"/>
                <w:color w:val="000000"/>
                <w:sz w:val="16"/>
                <w:szCs w:val="16"/>
                <w:lang w:eastAsia="hr-HR"/>
              </w:rPr>
              <w:t>Rashodi protokola-vijenci,cvijeće,svijeće i slično</w:t>
            </w:r>
          </w:p>
        </w:tc>
        <w:tc>
          <w:tcPr>
            <w:tcW w:w="1133" w:type="dxa"/>
            <w:tcBorders>
              <w:top w:val="single" w:sz="4" w:space="0" w:color="000080"/>
              <w:left w:val="nil"/>
              <w:bottom w:val="single" w:sz="4" w:space="0" w:color="000080"/>
              <w:right w:val="single" w:sz="4" w:space="0" w:color="000080"/>
            </w:tcBorders>
            <w:shd w:val="clear" w:color="000000" w:fill="DCE6F1"/>
            <w:vAlign w:val="center"/>
            <w:hideMark/>
          </w:tcPr>
          <w:p w:rsidR="00CB056A" w:rsidRPr="005861F0" w:rsidRDefault="00CB056A" w:rsidP="007412BF">
            <w:pPr>
              <w:spacing w:after="0" w:line="240" w:lineRule="auto"/>
              <w:jc w:val="center"/>
              <w:rPr>
                <w:rFonts w:ascii="Arial" w:eastAsia="Times New Roman" w:hAnsi="Arial" w:cs="Arial"/>
                <w:color w:val="000000"/>
                <w:sz w:val="16"/>
                <w:szCs w:val="16"/>
                <w:lang w:eastAsia="hr-HR"/>
              </w:rPr>
            </w:pPr>
            <w:r w:rsidRPr="005861F0">
              <w:rPr>
                <w:rFonts w:ascii="Arial" w:eastAsia="Times New Roman" w:hAnsi="Arial" w:cs="Arial"/>
                <w:color w:val="000000"/>
                <w:sz w:val="16"/>
                <w:szCs w:val="16"/>
                <w:lang w:eastAsia="hr-HR"/>
              </w:rPr>
              <w:t>Ostali nespomenuti rashodi poslovanja</w:t>
            </w:r>
          </w:p>
        </w:tc>
      </w:tr>
      <w:tr w:rsidR="00CB056A" w:rsidRPr="005861F0" w:rsidTr="007412BF">
        <w:trPr>
          <w:trHeight w:val="300"/>
          <w:jc w:val="center"/>
        </w:trPr>
        <w:tc>
          <w:tcPr>
            <w:tcW w:w="1433" w:type="dxa"/>
            <w:tcBorders>
              <w:top w:val="nil"/>
              <w:left w:val="single" w:sz="4" w:space="0" w:color="000080"/>
              <w:bottom w:val="single" w:sz="4" w:space="0" w:color="000080"/>
              <w:right w:val="single" w:sz="4" w:space="0" w:color="000080"/>
            </w:tcBorders>
            <w:shd w:val="clear" w:color="000000" w:fill="DCE6F1"/>
            <w:noWrap/>
            <w:vAlign w:val="center"/>
            <w:hideMark/>
          </w:tcPr>
          <w:p w:rsidR="00CB056A" w:rsidRPr="005861F0" w:rsidRDefault="00CB056A" w:rsidP="005861F0">
            <w:pPr>
              <w:spacing w:after="0" w:line="240" w:lineRule="auto"/>
              <w:ind w:firstLineChars="200" w:firstLine="320"/>
              <w:rPr>
                <w:rFonts w:ascii="Arial" w:eastAsia="Times New Roman" w:hAnsi="Arial" w:cs="Arial"/>
                <w:sz w:val="16"/>
                <w:szCs w:val="16"/>
                <w:lang w:eastAsia="hr-HR"/>
              </w:rPr>
            </w:pPr>
            <w:r w:rsidRPr="005861F0">
              <w:rPr>
                <w:rFonts w:ascii="Arial" w:eastAsia="Times New Roman" w:hAnsi="Arial" w:cs="Arial"/>
                <w:sz w:val="16"/>
                <w:szCs w:val="16"/>
                <w:lang w:eastAsia="hr-HR"/>
              </w:rPr>
              <w:t>- Ukupno</w:t>
            </w:r>
          </w:p>
        </w:tc>
        <w:tc>
          <w:tcPr>
            <w:tcW w:w="1133" w:type="dxa"/>
            <w:tcBorders>
              <w:top w:val="nil"/>
              <w:left w:val="nil"/>
              <w:bottom w:val="single" w:sz="4" w:space="0" w:color="000080"/>
              <w:right w:val="single" w:sz="4" w:space="0" w:color="000080"/>
            </w:tcBorders>
            <w:shd w:val="clear" w:color="000000" w:fill="DCE6F1"/>
            <w:noWrap/>
            <w:vAlign w:val="center"/>
            <w:hideMark/>
          </w:tcPr>
          <w:p w:rsidR="00CB056A" w:rsidRPr="005861F0" w:rsidRDefault="00CB056A" w:rsidP="00CB056A">
            <w:pPr>
              <w:spacing w:after="0" w:line="240" w:lineRule="auto"/>
              <w:jc w:val="right"/>
              <w:rPr>
                <w:rFonts w:ascii="Arial" w:eastAsia="Times New Roman" w:hAnsi="Arial" w:cs="Arial"/>
                <w:b/>
                <w:bCs/>
                <w:color w:val="000000"/>
                <w:sz w:val="16"/>
                <w:szCs w:val="16"/>
                <w:lang w:eastAsia="hr-HR"/>
              </w:rPr>
            </w:pPr>
            <w:r w:rsidRPr="005861F0">
              <w:rPr>
                <w:rFonts w:ascii="Arial" w:eastAsia="Times New Roman" w:hAnsi="Arial" w:cs="Arial"/>
                <w:b/>
                <w:bCs/>
                <w:color w:val="000000"/>
                <w:sz w:val="16"/>
                <w:szCs w:val="16"/>
                <w:lang w:eastAsia="hr-HR"/>
              </w:rPr>
              <w:t>110,669</w:t>
            </w:r>
          </w:p>
        </w:tc>
        <w:tc>
          <w:tcPr>
            <w:tcW w:w="1251" w:type="dxa"/>
            <w:tcBorders>
              <w:top w:val="nil"/>
              <w:left w:val="nil"/>
              <w:bottom w:val="single" w:sz="4" w:space="0" w:color="000080"/>
              <w:right w:val="single" w:sz="4" w:space="0" w:color="000080"/>
            </w:tcBorders>
            <w:shd w:val="clear" w:color="000000" w:fill="DCE6F1"/>
            <w:noWrap/>
            <w:vAlign w:val="center"/>
            <w:hideMark/>
          </w:tcPr>
          <w:p w:rsidR="00CB056A" w:rsidRPr="005861F0" w:rsidRDefault="00CB056A" w:rsidP="00CB056A">
            <w:pPr>
              <w:spacing w:after="0" w:line="240" w:lineRule="auto"/>
              <w:jc w:val="right"/>
              <w:rPr>
                <w:rFonts w:ascii="Arial" w:eastAsia="Times New Roman" w:hAnsi="Arial" w:cs="Arial"/>
                <w:b/>
                <w:bCs/>
                <w:color w:val="000000"/>
                <w:sz w:val="16"/>
                <w:szCs w:val="16"/>
                <w:lang w:eastAsia="hr-HR"/>
              </w:rPr>
            </w:pPr>
            <w:r w:rsidRPr="005861F0">
              <w:rPr>
                <w:rFonts w:ascii="Arial" w:eastAsia="Times New Roman" w:hAnsi="Arial" w:cs="Arial"/>
                <w:b/>
                <w:bCs/>
                <w:color w:val="000000"/>
                <w:sz w:val="16"/>
                <w:szCs w:val="16"/>
                <w:lang w:eastAsia="hr-HR"/>
              </w:rPr>
              <w:t>1,446</w:t>
            </w:r>
          </w:p>
        </w:tc>
        <w:tc>
          <w:tcPr>
            <w:tcW w:w="1133" w:type="dxa"/>
            <w:tcBorders>
              <w:top w:val="nil"/>
              <w:left w:val="nil"/>
              <w:bottom w:val="single" w:sz="4" w:space="0" w:color="000080"/>
              <w:right w:val="single" w:sz="4" w:space="0" w:color="000080"/>
            </w:tcBorders>
            <w:shd w:val="clear" w:color="000000" w:fill="DCE6F1"/>
            <w:noWrap/>
            <w:vAlign w:val="center"/>
            <w:hideMark/>
          </w:tcPr>
          <w:p w:rsidR="00CB056A" w:rsidRPr="005861F0" w:rsidRDefault="00CB056A" w:rsidP="00CB056A">
            <w:pPr>
              <w:spacing w:after="0" w:line="240" w:lineRule="auto"/>
              <w:jc w:val="right"/>
              <w:rPr>
                <w:rFonts w:ascii="Arial" w:eastAsia="Times New Roman" w:hAnsi="Arial" w:cs="Arial"/>
                <w:b/>
                <w:bCs/>
                <w:color w:val="000000"/>
                <w:sz w:val="16"/>
                <w:szCs w:val="16"/>
                <w:lang w:eastAsia="hr-HR"/>
              </w:rPr>
            </w:pPr>
            <w:r w:rsidRPr="005861F0">
              <w:rPr>
                <w:rFonts w:ascii="Arial" w:eastAsia="Times New Roman" w:hAnsi="Arial" w:cs="Arial"/>
                <w:b/>
                <w:bCs/>
                <w:color w:val="000000"/>
                <w:sz w:val="16"/>
                <w:szCs w:val="16"/>
                <w:lang w:eastAsia="hr-HR"/>
              </w:rPr>
              <w:t>109,224</w:t>
            </w:r>
          </w:p>
        </w:tc>
      </w:tr>
      <w:tr w:rsidR="00CB056A" w:rsidRPr="005861F0" w:rsidTr="007412BF">
        <w:trPr>
          <w:trHeight w:val="300"/>
          <w:jc w:val="center"/>
        </w:trPr>
        <w:tc>
          <w:tcPr>
            <w:tcW w:w="1433" w:type="dxa"/>
            <w:tcBorders>
              <w:top w:val="nil"/>
              <w:left w:val="single" w:sz="4" w:space="0" w:color="000080"/>
              <w:bottom w:val="single" w:sz="4" w:space="0" w:color="000080"/>
              <w:right w:val="single" w:sz="4" w:space="0" w:color="000080"/>
            </w:tcBorders>
            <w:shd w:val="clear" w:color="auto" w:fill="auto"/>
            <w:noWrap/>
            <w:vAlign w:val="center"/>
            <w:hideMark/>
          </w:tcPr>
          <w:p w:rsidR="00CB056A" w:rsidRPr="005861F0" w:rsidRDefault="00CB056A" w:rsidP="005861F0">
            <w:pPr>
              <w:spacing w:after="0" w:line="240" w:lineRule="auto"/>
              <w:ind w:firstLineChars="200" w:firstLine="320"/>
              <w:rPr>
                <w:rFonts w:ascii="Arial" w:eastAsia="Times New Roman" w:hAnsi="Arial" w:cs="Arial"/>
                <w:sz w:val="16"/>
                <w:szCs w:val="16"/>
                <w:lang w:eastAsia="hr-HR"/>
              </w:rPr>
            </w:pPr>
            <w:r w:rsidRPr="005861F0">
              <w:rPr>
                <w:rFonts w:ascii="Arial" w:eastAsia="Times New Roman" w:hAnsi="Arial" w:cs="Arial"/>
                <w:sz w:val="16"/>
                <w:szCs w:val="16"/>
                <w:lang w:eastAsia="hr-HR"/>
              </w:rPr>
              <w:t>- 1+2+8</w:t>
            </w:r>
          </w:p>
        </w:tc>
        <w:tc>
          <w:tcPr>
            <w:tcW w:w="1133" w:type="dxa"/>
            <w:tcBorders>
              <w:top w:val="nil"/>
              <w:left w:val="nil"/>
              <w:bottom w:val="single" w:sz="4" w:space="0" w:color="000080"/>
              <w:right w:val="single" w:sz="4" w:space="0" w:color="000080"/>
            </w:tcBorders>
            <w:shd w:val="clear" w:color="auto" w:fill="auto"/>
            <w:noWrap/>
            <w:vAlign w:val="center"/>
            <w:hideMark/>
          </w:tcPr>
          <w:p w:rsidR="00CB056A" w:rsidRPr="005861F0" w:rsidRDefault="00CB056A" w:rsidP="00CB056A">
            <w:pPr>
              <w:spacing w:after="0" w:line="240" w:lineRule="auto"/>
              <w:jc w:val="right"/>
              <w:rPr>
                <w:rFonts w:ascii="Arial" w:eastAsia="Times New Roman" w:hAnsi="Arial" w:cs="Arial"/>
                <w:b/>
                <w:bCs/>
                <w:color w:val="000000"/>
                <w:sz w:val="16"/>
                <w:szCs w:val="16"/>
                <w:lang w:eastAsia="hr-HR"/>
              </w:rPr>
            </w:pPr>
            <w:r w:rsidRPr="005861F0">
              <w:rPr>
                <w:rFonts w:ascii="Arial" w:eastAsia="Times New Roman" w:hAnsi="Arial" w:cs="Arial"/>
                <w:b/>
                <w:bCs/>
                <w:color w:val="000000"/>
                <w:sz w:val="16"/>
                <w:szCs w:val="16"/>
                <w:lang w:eastAsia="hr-HR"/>
              </w:rPr>
              <w:t>106,295</w:t>
            </w:r>
          </w:p>
        </w:tc>
        <w:tc>
          <w:tcPr>
            <w:tcW w:w="1251" w:type="dxa"/>
            <w:tcBorders>
              <w:top w:val="nil"/>
              <w:left w:val="nil"/>
              <w:bottom w:val="single" w:sz="4" w:space="0" w:color="000080"/>
              <w:right w:val="single" w:sz="4" w:space="0" w:color="000080"/>
            </w:tcBorders>
            <w:shd w:val="clear" w:color="auto" w:fill="auto"/>
            <w:noWrap/>
            <w:vAlign w:val="center"/>
            <w:hideMark/>
          </w:tcPr>
          <w:p w:rsidR="00CB056A" w:rsidRPr="005861F0" w:rsidRDefault="00CB056A" w:rsidP="00CB056A">
            <w:pPr>
              <w:spacing w:after="0" w:line="240" w:lineRule="auto"/>
              <w:jc w:val="right"/>
              <w:rPr>
                <w:rFonts w:ascii="Arial" w:eastAsia="Times New Roman" w:hAnsi="Arial" w:cs="Arial"/>
                <w:b/>
                <w:bCs/>
                <w:color w:val="000000"/>
                <w:sz w:val="16"/>
                <w:szCs w:val="16"/>
                <w:lang w:eastAsia="hr-HR"/>
              </w:rPr>
            </w:pPr>
            <w:r w:rsidRPr="005861F0">
              <w:rPr>
                <w:rFonts w:ascii="Arial" w:eastAsia="Times New Roman" w:hAnsi="Arial" w:cs="Arial"/>
                <w:b/>
                <w:bCs/>
                <w:color w:val="000000"/>
                <w:sz w:val="16"/>
                <w:szCs w:val="16"/>
                <w:lang w:eastAsia="hr-HR"/>
              </w:rPr>
              <w:t>1,443</w:t>
            </w:r>
          </w:p>
        </w:tc>
        <w:tc>
          <w:tcPr>
            <w:tcW w:w="1133" w:type="dxa"/>
            <w:tcBorders>
              <w:top w:val="nil"/>
              <w:left w:val="nil"/>
              <w:bottom w:val="single" w:sz="4" w:space="0" w:color="000080"/>
              <w:right w:val="single" w:sz="4" w:space="0" w:color="000080"/>
            </w:tcBorders>
            <w:shd w:val="clear" w:color="auto" w:fill="auto"/>
            <w:noWrap/>
            <w:vAlign w:val="center"/>
            <w:hideMark/>
          </w:tcPr>
          <w:p w:rsidR="00CB056A" w:rsidRPr="005861F0" w:rsidRDefault="00CB056A" w:rsidP="00CB056A">
            <w:pPr>
              <w:spacing w:after="0" w:line="240" w:lineRule="auto"/>
              <w:jc w:val="right"/>
              <w:rPr>
                <w:rFonts w:ascii="Arial" w:eastAsia="Times New Roman" w:hAnsi="Arial" w:cs="Arial"/>
                <w:b/>
                <w:bCs/>
                <w:color w:val="000000"/>
                <w:sz w:val="16"/>
                <w:szCs w:val="16"/>
                <w:lang w:eastAsia="hr-HR"/>
              </w:rPr>
            </w:pPr>
            <w:r w:rsidRPr="005861F0">
              <w:rPr>
                <w:rFonts w:ascii="Arial" w:eastAsia="Times New Roman" w:hAnsi="Arial" w:cs="Arial"/>
                <w:b/>
                <w:bCs/>
                <w:color w:val="000000"/>
                <w:sz w:val="16"/>
                <w:szCs w:val="16"/>
                <w:lang w:eastAsia="hr-HR"/>
              </w:rPr>
              <w:t>104,852</w:t>
            </w:r>
          </w:p>
        </w:tc>
      </w:tr>
      <w:tr w:rsidR="00CB056A" w:rsidRPr="005861F0" w:rsidTr="007412BF">
        <w:trPr>
          <w:trHeight w:val="300"/>
          <w:jc w:val="center"/>
        </w:trPr>
        <w:tc>
          <w:tcPr>
            <w:tcW w:w="1433" w:type="dxa"/>
            <w:tcBorders>
              <w:top w:val="nil"/>
              <w:left w:val="single" w:sz="4" w:space="0" w:color="000080"/>
              <w:bottom w:val="single" w:sz="4" w:space="0" w:color="000080"/>
              <w:right w:val="single" w:sz="4" w:space="0" w:color="000080"/>
            </w:tcBorders>
            <w:shd w:val="clear" w:color="auto" w:fill="auto"/>
            <w:noWrap/>
            <w:vAlign w:val="center"/>
            <w:hideMark/>
          </w:tcPr>
          <w:p w:rsidR="00CB056A" w:rsidRPr="005861F0" w:rsidRDefault="00CB056A" w:rsidP="005861F0">
            <w:pPr>
              <w:spacing w:after="0" w:line="240" w:lineRule="auto"/>
              <w:ind w:firstLineChars="200" w:firstLine="320"/>
              <w:rPr>
                <w:rFonts w:ascii="Arial" w:eastAsia="Times New Roman" w:hAnsi="Arial" w:cs="Arial"/>
                <w:sz w:val="16"/>
                <w:szCs w:val="16"/>
                <w:lang w:eastAsia="hr-HR"/>
              </w:rPr>
            </w:pPr>
            <w:r w:rsidRPr="005861F0">
              <w:rPr>
                <w:rFonts w:ascii="Arial" w:eastAsia="Times New Roman" w:hAnsi="Arial" w:cs="Arial"/>
                <w:sz w:val="16"/>
                <w:szCs w:val="16"/>
                <w:lang w:eastAsia="hr-HR"/>
              </w:rPr>
              <w:t>- ostali izvori</w:t>
            </w:r>
          </w:p>
        </w:tc>
        <w:tc>
          <w:tcPr>
            <w:tcW w:w="1133" w:type="dxa"/>
            <w:tcBorders>
              <w:top w:val="nil"/>
              <w:left w:val="nil"/>
              <w:bottom w:val="single" w:sz="4" w:space="0" w:color="000080"/>
              <w:right w:val="single" w:sz="4" w:space="0" w:color="000080"/>
            </w:tcBorders>
            <w:shd w:val="clear" w:color="auto" w:fill="auto"/>
            <w:noWrap/>
            <w:vAlign w:val="center"/>
            <w:hideMark/>
          </w:tcPr>
          <w:p w:rsidR="00CB056A" w:rsidRPr="005861F0" w:rsidRDefault="00CB056A" w:rsidP="00CB056A">
            <w:pPr>
              <w:spacing w:after="0" w:line="240" w:lineRule="auto"/>
              <w:jc w:val="right"/>
              <w:rPr>
                <w:rFonts w:ascii="Arial" w:eastAsia="Times New Roman" w:hAnsi="Arial" w:cs="Arial"/>
                <w:b/>
                <w:bCs/>
                <w:color w:val="000000"/>
                <w:sz w:val="16"/>
                <w:szCs w:val="16"/>
                <w:lang w:eastAsia="hr-HR"/>
              </w:rPr>
            </w:pPr>
            <w:r w:rsidRPr="005861F0">
              <w:rPr>
                <w:rFonts w:ascii="Arial" w:eastAsia="Times New Roman" w:hAnsi="Arial" w:cs="Arial"/>
                <w:b/>
                <w:bCs/>
                <w:color w:val="000000"/>
                <w:sz w:val="16"/>
                <w:szCs w:val="16"/>
                <w:lang w:eastAsia="hr-HR"/>
              </w:rPr>
              <w:t>4,375</w:t>
            </w:r>
          </w:p>
        </w:tc>
        <w:tc>
          <w:tcPr>
            <w:tcW w:w="1251" w:type="dxa"/>
            <w:tcBorders>
              <w:top w:val="nil"/>
              <w:left w:val="nil"/>
              <w:bottom w:val="single" w:sz="4" w:space="0" w:color="000080"/>
              <w:right w:val="single" w:sz="4" w:space="0" w:color="000080"/>
            </w:tcBorders>
            <w:shd w:val="clear" w:color="auto" w:fill="auto"/>
            <w:noWrap/>
            <w:vAlign w:val="center"/>
            <w:hideMark/>
          </w:tcPr>
          <w:p w:rsidR="00CB056A" w:rsidRPr="005861F0" w:rsidRDefault="00CB056A" w:rsidP="00CB056A">
            <w:pPr>
              <w:spacing w:after="0" w:line="240" w:lineRule="auto"/>
              <w:jc w:val="right"/>
              <w:rPr>
                <w:rFonts w:ascii="Arial" w:eastAsia="Times New Roman" w:hAnsi="Arial" w:cs="Arial"/>
                <w:b/>
                <w:bCs/>
                <w:color w:val="000000"/>
                <w:sz w:val="16"/>
                <w:szCs w:val="16"/>
                <w:lang w:eastAsia="hr-HR"/>
              </w:rPr>
            </w:pPr>
            <w:r w:rsidRPr="005861F0">
              <w:rPr>
                <w:rFonts w:ascii="Arial" w:eastAsia="Times New Roman" w:hAnsi="Arial" w:cs="Arial"/>
                <w:b/>
                <w:bCs/>
                <w:color w:val="000000"/>
                <w:sz w:val="16"/>
                <w:szCs w:val="16"/>
                <w:lang w:eastAsia="hr-HR"/>
              </w:rPr>
              <w:t>,003</w:t>
            </w:r>
          </w:p>
        </w:tc>
        <w:tc>
          <w:tcPr>
            <w:tcW w:w="1133" w:type="dxa"/>
            <w:tcBorders>
              <w:top w:val="nil"/>
              <w:left w:val="nil"/>
              <w:bottom w:val="single" w:sz="4" w:space="0" w:color="000080"/>
              <w:right w:val="single" w:sz="4" w:space="0" w:color="000080"/>
            </w:tcBorders>
            <w:shd w:val="clear" w:color="auto" w:fill="auto"/>
            <w:noWrap/>
            <w:vAlign w:val="center"/>
            <w:hideMark/>
          </w:tcPr>
          <w:p w:rsidR="00CB056A" w:rsidRPr="005861F0" w:rsidRDefault="00CB056A" w:rsidP="00CB056A">
            <w:pPr>
              <w:spacing w:after="0" w:line="240" w:lineRule="auto"/>
              <w:jc w:val="right"/>
              <w:rPr>
                <w:rFonts w:ascii="Arial" w:eastAsia="Times New Roman" w:hAnsi="Arial" w:cs="Arial"/>
                <w:b/>
                <w:bCs/>
                <w:color w:val="000000"/>
                <w:sz w:val="16"/>
                <w:szCs w:val="16"/>
                <w:lang w:eastAsia="hr-HR"/>
              </w:rPr>
            </w:pPr>
            <w:r w:rsidRPr="005861F0">
              <w:rPr>
                <w:rFonts w:ascii="Arial" w:eastAsia="Times New Roman" w:hAnsi="Arial" w:cs="Arial"/>
                <w:b/>
                <w:bCs/>
                <w:color w:val="000000"/>
                <w:sz w:val="16"/>
                <w:szCs w:val="16"/>
                <w:lang w:eastAsia="hr-HR"/>
              </w:rPr>
              <w:t>4,372</w:t>
            </w:r>
          </w:p>
        </w:tc>
      </w:tr>
    </w:tbl>
    <w:p w:rsidR="00CB056A" w:rsidRDefault="00CB056A" w:rsidP="00B76776">
      <w:pPr>
        <w:spacing w:after="0" w:line="240" w:lineRule="auto"/>
        <w:rPr>
          <w:rFonts w:ascii="Times New Roman" w:hAnsi="Times New Roman" w:cs="Times New Roman"/>
        </w:rPr>
      </w:pPr>
    </w:p>
    <w:p w:rsidR="001506B8" w:rsidRPr="001506B8" w:rsidRDefault="001506B8" w:rsidP="001506B8">
      <w:pPr>
        <w:shd w:val="clear" w:color="auto" w:fill="FFFFFF"/>
        <w:spacing w:after="0" w:line="240" w:lineRule="auto"/>
        <w:ind w:firstLine="360"/>
        <w:jc w:val="both"/>
        <w:rPr>
          <w:rFonts w:ascii="Times New Roman" w:hAnsi="Times New Roman" w:cs="Times New Roman"/>
          <w:u w:val="single"/>
        </w:rPr>
      </w:pPr>
      <w:r w:rsidRPr="00FA7F54">
        <w:rPr>
          <w:rFonts w:ascii="Times New Roman" w:hAnsi="Times New Roman" w:cs="Times New Roman"/>
          <w:u w:val="single"/>
        </w:rPr>
        <w:t>Mjere za smanjenj</w:t>
      </w:r>
      <w:r>
        <w:rPr>
          <w:rFonts w:ascii="Times New Roman" w:hAnsi="Times New Roman" w:cs="Times New Roman"/>
          <w:u w:val="single"/>
        </w:rPr>
        <w:t>e odnosno optimizaciju rashoda:</w:t>
      </w:r>
    </w:p>
    <w:p w:rsidR="00360125" w:rsidRPr="002E6F9D" w:rsidRDefault="001506B8" w:rsidP="002E6F9D">
      <w:pPr>
        <w:pStyle w:val="Odlomakpopisa"/>
        <w:numPr>
          <w:ilvl w:val="0"/>
          <w:numId w:val="39"/>
        </w:numPr>
        <w:spacing w:line="240" w:lineRule="auto"/>
        <w:jc w:val="both"/>
        <w:rPr>
          <w:rFonts w:ascii="Times New Roman" w:hAnsi="Times New Roman" w:cs="Times New Roman"/>
        </w:rPr>
      </w:pPr>
      <w:r w:rsidRPr="00D63EBE">
        <w:rPr>
          <w:rFonts w:ascii="Times New Roman" w:hAnsi="Times New Roman" w:cs="Times New Roman"/>
        </w:rPr>
        <w:t xml:space="preserve">Izraditi uputu vezano za rashode koji se trenutno evidentiraju na ostalim nespomenutim </w:t>
      </w:r>
      <w:r>
        <w:rPr>
          <w:rFonts w:ascii="Times New Roman" w:hAnsi="Times New Roman" w:cs="Times New Roman"/>
        </w:rPr>
        <w:t>rashodima poslovanja</w:t>
      </w:r>
      <w:r w:rsidRPr="00D63EBE">
        <w:rPr>
          <w:rFonts w:ascii="Times New Roman" w:hAnsi="Times New Roman" w:cs="Times New Roman"/>
        </w:rPr>
        <w:t>, a koji nisu ispravno klasificirani.</w:t>
      </w:r>
    </w:p>
    <w:p w:rsidR="00360125" w:rsidRPr="001506B8" w:rsidRDefault="00360125" w:rsidP="001506B8">
      <w:pPr>
        <w:pStyle w:val="Odlomakpopisa"/>
        <w:spacing w:line="240" w:lineRule="auto"/>
        <w:jc w:val="both"/>
        <w:rPr>
          <w:rFonts w:ascii="Times New Roman" w:hAnsi="Times New Roman" w:cs="Times New Roman"/>
        </w:rPr>
      </w:pPr>
    </w:p>
    <w:p w:rsidR="005A2EB9" w:rsidRPr="00FA7F54" w:rsidRDefault="005A2EB9" w:rsidP="005A2EB9">
      <w:pPr>
        <w:pStyle w:val="Odlomakpopisa"/>
        <w:numPr>
          <w:ilvl w:val="0"/>
          <w:numId w:val="4"/>
        </w:numPr>
        <w:spacing w:line="240" w:lineRule="auto"/>
        <w:ind w:left="567" w:hanging="567"/>
        <w:outlineLvl w:val="0"/>
        <w:rPr>
          <w:rFonts w:ascii="Times New Roman" w:hAnsi="Times New Roman" w:cs="Times New Roman"/>
        </w:rPr>
      </w:pPr>
      <w:bookmarkStart w:id="139" w:name="_Toc434411206"/>
      <w:bookmarkStart w:id="140" w:name="_Toc436402349"/>
      <w:r>
        <w:rPr>
          <w:rFonts w:ascii="Times New Roman" w:hAnsi="Times New Roman" w:cs="Times New Roman"/>
        </w:rPr>
        <w:t xml:space="preserve">STANDARDI ZA </w:t>
      </w:r>
      <w:bookmarkEnd w:id="139"/>
      <w:r>
        <w:rPr>
          <w:rFonts w:ascii="Times New Roman" w:hAnsi="Times New Roman" w:cs="Times New Roman"/>
        </w:rPr>
        <w:t>HORIZONTALNE FUNKCIJE U POSLOVANJU KORISNIKA</w:t>
      </w:r>
      <w:bookmarkEnd w:id="140"/>
    </w:p>
    <w:p w:rsidR="005A2EB9" w:rsidRDefault="005A2EB9" w:rsidP="005A2EB9">
      <w:pPr>
        <w:spacing w:after="0" w:line="240" w:lineRule="auto"/>
        <w:jc w:val="both"/>
        <w:rPr>
          <w:rFonts w:ascii="Times New Roman" w:hAnsi="Times New Roman" w:cs="Times New Roman"/>
        </w:rPr>
      </w:pPr>
      <w:r w:rsidRPr="00FA7F54">
        <w:rPr>
          <w:rFonts w:ascii="Times New Roman" w:hAnsi="Times New Roman" w:cs="Times New Roman"/>
        </w:rPr>
        <w:t>Prema podacima koji su u svrhu provođenja reformskih mjera  kroz upitnike prikupljani od korisnika, uočena su odstupanja u broju zaposlenih u općim (pomoćnim) službama</w:t>
      </w:r>
      <w:r>
        <w:rPr>
          <w:rFonts w:ascii="Times New Roman" w:hAnsi="Times New Roman" w:cs="Times New Roman"/>
        </w:rPr>
        <w:t xml:space="preserve"> te organizaciji obavljanja navedenih poslova u okviru iste grupe analiziranih korisnika. Pod općim poslovima podrazumijevaju se:</w:t>
      </w:r>
    </w:p>
    <w:p w:rsidR="005A2EB9" w:rsidRDefault="005A2EB9" w:rsidP="005A2EB9">
      <w:pPr>
        <w:pStyle w:val="Odlomakpopisa"/>
        <w:numPr>
          <w:ilvl w:val="0"/>
          <w:numId w:val="1"/>
        </w:numPr>
        <w:spacing w:after="0" w:line="240" w:lineRule="auto"/>
        <w:jc w:val="both"/>
        <w:rPr>
          <w:rFonts w:ascii="Times New Roman" w:hAnsi="Times New Roman" w:cs="Times New Roman"/>
        </w:rPr>
      </w:pPr>
      <w:r>
        <w:rPr>
          <w:rFonts w:ascii="Times New Roman" w:hAnsi="Times New Roman" w:cs="Times New Roman"/>
        </w:rPr>
        <w:t>Poslovi upravljanja ljudskim potencijalima</w:t>
      </w:r>
    </w:p>
    <w:p w:rsidR="005A2EB9" w:rsidRDefault="005A2EB9" w:rsidP="005A2EB9">
      <w:pPr>
        <w:pStyle w:val="Odlomakpopisa"/>
        <w:numPr>
          <w:ilvl w:val="0"/>
          <w:numId w:val="1"/>
        </w:numPr>
        <w:spacing w:line="240" w:lineRule="auto"/>
        <w:jc w:val="both"/>
        <w:rPr>
          <w:rFonts w:ascii="Times New Roman" w:hAnsi="Times New Roman" w:cs="Times New Roman"/>
        </w:rPr>
      </w:pPr>
      <w:r>
        <w:rPr>
          <w:rFonts w:ascii="Times New Roman" w:hAnsi="Times New Roman" w:cs="Times New Roman"/>
        </w:rPr>
        <w:t>Poslovi vođenja urudžbenog zapisnika, prijema i otpreme pošte, poslovi pismohrane</w:t>
      </w:r>
    </w:p>
    <w:p w:rsidR="005A2EB9" w:rsidRDefault="005A2EB9" w:rsidP="005A2EB9">
      <w:pPr>
        <w:pStyle w:val="Odlomakpopisa"/>
        <w:numPr>
          <w:ilvl w:val="0"/>
          <w:numId w:val="1"/>
        </w:numPr>
        <w:spacing w:line="240" w:lineRule="auto"/>
        <w:jc w:val="both"/>
        <w:rPr>
          <w:rFonts w:ascii="Times New Roman" w:hAnsi="Times New Roman" w:cs="Times New Roman"/>
        </w:rPr>
      </w:pPr>
      <w:r>
        <w:rPr>
          <w:rFonts w:ascii="Times New Roman" w:hAnsi="Times New Roman" w:cs="Times New Roman"/>
        </w:rPr>
        <w:t>Poslovi financijskog planiranja pripreme, kontrole i izvršenja proračuna</w:t>
      </w:r>
    </w:p>
    <w:p w:rsidR="005A2EB9" w:rsidRDefault="005A2EB9" w:rsidP="005A2EB9">
      <w:pPr>
        <w:pStyle w:val="Odlomakpopisa"/>
        <w:numPr>
          <w:ilvl w:val="0"/>
          <w:numId w:val="1"/>
        </w:numPr>
        <w:spacing w:line="240" w:lineRule="auto"/>
        <w:jc w:val="both"/>
        <w:rPr>
          <w:rFonts w:ascii="Times New Roman" w:hAnsi="Times New Roman" w:cs="Times New Roman"/>
        </w:rPr>
      </w:pPr>
      <w:r>
        <w:rPr>
          <w:rFonts w:ascii="Times New Roman" w:hAnsi="Times New Roman" w:cs="Times New Roman"/>
        </w:rPr>
        <w:t>Financijsko-računovodstveni poslovi, poslovi rukovanja inventarom, opremom i umjetninama te vođenje o tome odgovarajućih očevidnika</w:t>
      </w:r>
    </w:p>
    <w:p w:rsidR="005A2EB9" w:rsidRDefault="005A2EB9" w:rsidP="005A2EB9">
      <w:pPr>
        <w:pStyle w:val="Odlomakpopisa"/>
        <w:numPr>
          <w:ilvl w:val="0"/>
          <w:numId w:val="1"/>
        </w:numPr>
        <w:spacing w:line="240" w:lineRule="auto"/>
        <w:jc w:val="both"/>
        <w:rPr>
          <w:rFonts w:ascii="Times New Roman" w:hAnsi="Times New Roman" w:cs="Times New Roman"/>
        </w:rPr>
      </w:pPr>
      <w:r>
        <w:rPr>
          <w:rFonts w:ascii="Times New Roman" w:hAnsi="Times New Roman" w:cs="Times New Roman"/>
        </w:rPr>
        <w:t>Poslovi javne nabave sukladno Zakonu o javnoj nabavi, poslovi skladištenja i distribucije uredskog pribora, potrošnog materijala i tiska</w:t>
      </w:r>
    </w:p>
    <w:p w:rsidR="005A2EB9" w:rsidRDefault="005A2EB9" w:rsidP="005A2EB9">
      <w:pPr>
        <w:pStyle w:val="Odlomakpopisa"/>
        <w:numPr>
          <w:ilvl w:val="0"/>
          <w:numId w:val="1"/>
        </w:numPr>
        <w:spacing w:line="240" w:lineRule="auto"/>
        <w:jc w:val="both"/>
        <w:rPr>
          <w:rFonts w:ascii="Times New Roman" w:hAnsi="Times New Roman" w:cs="Times New Roman"/>
        </w:rPr>
      </w:pPr>
      <w:r>
        <w:rPr>
          <w:rFonts w:ascii="Times New Roman" w:hAnsi="Times New Roman" w:cs="Times New Roman"/>
        </w:rPr>
        <w:t>Poslovi tehničkog održavanja, informatičke, elektroničke i uredske opreme i uređaja te poslovi sigurnosti informacijskih sustava</w:t>
      </w:r>
    </w:p>
    <w:p w:rsidR="005A2EB9" w:rsidRPr="00BC210E" w:rsidRDefault="005A2EB9" w:rsidP="005A2EB9">
      <w:pPr>
        <w:pStyle w:val="Odlomakpopisa"/>
        <w:numPr>
          <w:ilvl w:val="0"/>
          <w:numId w:val="1"/>
        </w:numPr>
        <w:spacing w:line="240" w:lineRule="auto"/>
        <w:jc w:val="both"/>
        <w:rPr>
          <w:rFonts w:ascii="Times New Roman" w:hAnsi="Times New Roman" w:cs="Times New Roman"/>
        </w:rPr>
      </w:pPr>
      <w:r>
        <w:rPr>
          <w:rFonts w:ascii="Times New Roman" w:hAnsi="Times New Roman" w:cs="Times New Roman"/>
        </w:rPr>
        <w:t xml:space="preserve">Stručno-tehnički poslovi, poslovi investicijskog i tekućeg održavanja poslovnih zgrada te drugih objekata i uredskih prostora o kojima skrbi korisnik, poslovi pružanja ugostiteljskih usluga u internim restoranima i </w:t>
      </w:r>
      <w:proofErr w:type="spellStart"/>
      <w:r>
        <w:rPr>
          <w:rFonts w:ascii="Times New Roman" w:hAnsi="Times New Roman" w:cs="Times New Roman"/>
        </w:rPr>
        <w:t>buffetima</w:t>
      </w:r>
      <w:proofErr w:type="spellEnd"/>
      <w:r>
        <w:rPr>
          <w:rFonts w:ascii="Times New Roman" w:hAnsi="Times New Roman" w:cs="Times New Roman"/>
        </w:rPr>
        <w:t xml:space="preserve"> te poslovi održavanja i čišćenja poslovnog i drugog prostora, poslovi održavanja zelenila te poslove autoservisa.</w:t>
      </w:r>
    </w:p>
    <w:p w:rsidR="005A2EB9" w:rsidRPr="00192018" w:rsidRDefault="005A2EB9" w:rsidP="005A2EB9">
      <w:pPr>
        <w:spacing w:line="240" w:lineRule="auto"/>
        <w:jc w:val="both"/>
        <w:rPr>
          <w:rFonts w:ascii="Times New Roman" w:eastAsia="Times New Roman" w:hAnsi="Times New Roman"/>
          <w:lang w:eastAsia="hr-HR"/>
        </w:rPr>
      </w:pPr>
      <w:r>
        <w:rPr>
          <w:rFonts w:ascii="Times New Roman" w:hAnsi="Times New Roman" w:cs="Times New Roman"/>
        </w:rPr>
        <w:t>Iz analize podataka proizlazi da</w:t>
      </w:r>
      <w:r w:rsidRPr="00FA7F54">
        <w:rPr>
          <w:rFonts w:ascii="Times New Roman" w:hAnsi="Times New Roman" w:cs="Times New Roman"/>
        </w:rPr>
        <w:t xml:space="preserve"> u malim organizacijama iste osobe obavljaju sve opće poslove odnosno poslove u računovodstvu i financijama, kadrovske i p</w:t>
      </w:r>
      <w:r>
        <w:rPr>
          <w:rFonts w:ascii="Times New Roman" w:hAnsi="Times New Roman" w:cs="Times New Roman"/>
        </w:rPr>
        <w:t>ravne poslove, poslove nabave,</w:t>
      </w:r>
      <w:r w:rsidRPr="00FA7F54">
        <w:rPr>
          <w:rFonts w:ascii="Times New Roman" w:hAnsi="Times New Roman" w:cs="Times New Roman"/>
        </w:rPr>
        <w:t xml:space="preserve"> upravljanje zalihama potrošnog materijala</w:t>
      </w:r>
      <w:r>
        <w:rPr>
          <w:rFonts w:ascii="Times New Roman" w:hAnsi="Times New Roman" w:cs="Times New Roman"/>
        </w:rPr>
        <w:t xml:space="preserve"> i slično</w:t>
      </w:r>
      <w:r w:rsidRPr="00FA7F54">
        <w:rPr>
          <w:rFonts w:ascii="Times New Roman" w:hAnsi="Times New Roman" w:cs="Times New Roman"/>
        </w:rPr>
        <w:t xml:space="preserve">. </w:t>
      </w:r>
    </w:p>
    <w:p w:rsidR="005A2EB9" w:rsidRDefault="005A2EB9" w:rsidP="005A2EB9">
      <w:pPr>
        <w:spacing w:line="240" w:lineRule="auto"/>
        <w:jc w:val="both"/>
        <w:rPr>
          <w:rFonts w:ascii="Times New Roman" w:eastAsia="Times New Roman" w:hAnsi="Times New Roman"/>
          <w:lang w:eastAsia="hr-HR"/>
        </w:rPr>
      </w:pPr>
      <w:r>
        <w:rPr>
          <w:rFonts w:ascii="Times New Roman" w:eastAsia="Times New Roman" w:hAnsi="Times New Roman"/>
          <w:lang w:eastAsia="hr-HR"/>
        </w:rPr>
        <w:t>Jedna od mjera Strategije razvoja javne uprave za razdo</w:t>
      </w:r>
      <w:r w:rsidR="0082637E">
        <w:rPr>
          <w:rFonts w:ascii="Times New Roman" w:eastAsia="Times New Roman" w:hAnsi="Times New Roman"/>
          <w:lang w:eastAsia="hr-HR"/>
        </w:rPr>
        <w:t>blje od 2015. do 2020. godine (Narodne novine</w:t>
      </w:r>
      <w:r w:rsidR="002B1468">
        <w:rPr>
          <w:rFonts w:ascii="Times New Roman" w:eastAsia="Times New Roman" w:hAnsi="Times New Roman"/>
          <w:lang w:eastAsia="hr-HR"/>
        </w:rPr>
        <w:t>, br. 70/</w:t>
      </w:r>
      <w:r>
        <w:rPr>
          <w:rFonts w:ascii="Times New Roman" w:eastAsia="Times New Roman" w:hAnsi="Times New Roman"/>
          <w:lang w:eastAsia="hr-HR"/>
        </w:rPr>
        <w:t>15</w:t>
      </w:r>
      <w:r w:rsidR="002B1468">
        <w:rPr>
          <w:rFonts w:ascii="Times New Roman" w:eastAsia="Times New Roman" w:hAnsi="Times New Roman"/>
          <w:lang w:eastAsia="hr-HR"/>
        </w:rPr>
        <w:t>.</w:t>
      </w:r>
      <w:r>
        <w:rPr>
          <w:rFonts w:ascii="Times New Roman" w:eastAsia="Times New Roman" w:hAnsi="Times New Roman"/>
          <w:lang w:eastAsia="hr-HR"/>
        </w:rPr>
        <w:t>) je s</w:t>
      </w:r>
      <w:r w:rsidRPr="00C55EAB">
        <w:rPr>
          <w:rFonts w:ascii="Times New Roman" w:eastAsia="Times New Roman" w:hAnsi="Times New Roman"/>
          <w:lang w:eastAsia="hr-HR"/>
        </w:rPr>
        <w:t xml:space="preserve">manjivati udio horizontalnih funkcija u ukupnom poslovanju </w:t>
      </w:r>
      <w:r>
        <w:rPr>
          <w:rFonts w:ascii="Times New Roman" w:eastAsia="Times New Roman" w:hAnsi="Times New Roman"/>
          <w:lang w:eastAsia="hr-HR"/>
        </w:rPr>
        <w:t xml:space="preserve">gdje se kao pokazatelj ostvarenja mjere navodi 20% zaposlenika koji obavljaju horizontalne funkcije. U okviru navedene mjere planira se, osim izrade standarda i metodologije, provesti analiza horizontalnih funkcija i procesa, izmijeniti normativni okvir za horizontalne funkcije te </w:t>
      </w:r>
      <w:proofErr w:type="spellStart"/>
      <w:r>
        <w:rPr>
          <w:rFonts w:ascii="Times New Roman" w:eastAsia="Times New Roman" w:hAnsi="Times New Roman"/>
          <w:lang w:eastAsia="hr-HR"/>
        </w:rPr>
        <w:t>informatizirati</w:t>
      </w:r>
      <w:proofErr w:type="spellEnd"/>
      <w:r>
        <w:rPr>
          <w:rFonts w:ascii="Times New Roman" w:eastAsia="Times New Roman" w:hAnsi="Times New Roman"/>
          <w:lang w:eastAsia="hr-HR"/>
        </w:rPr>
        <w:t xml:space="preserve"> horizontalne poslovne procese koristeći zajednička rješenja.</w:t>
      </w:r>
    </w:p>
    <w:p w:rsidR="005A2EB9" w:rsidRDefault="005A2EB9" w:rsidP="005A2EB9">
      <w:pPr>
        <w:spacing w:line="240" w:lineRule="auto"/>
        <w:jc w:val="both"/>
        <w:rPr>
          <w:rFonts w:ascii="Times New Roman" w:eastAsia="Times New Roman" w:hAnsi="Times New Roman"/>
          <w:lang w:eastAsia="hr-HR"/>
        </w:rPr>
      </w:pPr>
      <w:r w:rsidRPr="008D171E">
        <w:rPr>
          <w:rFonts w:ascii="Times New Roman" w:eastAsia="Times New Roman" w:hAnsi="Times New Roman"/>
          <w:lang w:eastAsia="hr-HR"/>
        </w:rPr>
        <w:t>Dobar primjer objedinjenih poslova općih službi je Ured za opće poslove Hrvatskoga sabora i Vlade Republike Hrvatske koji navedene poslove obavlja za sve vladine urede iako isti imaju pravnu osobnost.</w:t>
      </w:r>
    </w:p>
    <w:p w:rsidR="00A34856" w:rsidRDefault="0082637E" w:rsidP="005A2EB9">
      <w:pPr>
        <w:spacing w:line="240" w:lineRule="auto"/>
        <w:jc w:val="both"/>
        <w:rPr>
          <w:rFonts w:ascii="Times New Roman" w:eastAsia="Times New Roman" w:hAnsi="Times New Roman"/>
          <w:lang w:eastAsia="hr-HR"/>
        </w:rPr>
      </w:pPr>
      <w:r w:rsidRPr="008D171E">
        <w:rPr>
          <w:rFonts w:ascii="Times New Roman" w:eastAsia="Times New Roman" w:hAnsi="Times New Roman"/>
          <w:lang w:eastAsia="hr-HR"/>
        </w:rPr>
        <w:t>Zbog značajne uloge u postizanju racionalizacije rashoda potrebno je osnažiti i unaprijediti ulogu organizacijskih jedinica koje obavljaju poslove javne nabave u krovnim organizacijama s naglaskom na centralizaciju poslova nabave na nivou krovne organizacije kao i koordinacijske uloge za korisnike iz nadležnosti organizacije.</w:t>
      </w:r>
    </w:p>
    <w:p w:rsidR="00A34856" w:rsidRPr="008D171E" w:rsidRDefault="00A34856" w:rsidP="005A2EB9">
      <w:pPr>
        <w:spacing w:line="240" w:lineRule="auto"/>
        <w:jc w:val="both"/>
        <w:rPr>
          <w:rFonts w:ascii="Times New Roman" w:eastAsia="Times New Roman" w:hAnsi="Times New Roman"/>
          <w:lang w:eastAsia="hr-HR"/>
        </w:rPr>
      </w:pPr>
    </w:p>
    <w:p w:rsidR="00C4310D" w:rsidRPr="004E2D7B" w:rsidRDefault="008261BB">
      <w:pPr>
        <w:pStyle w:val="Tablicaslika"/>
        <w:tabs>
          <w:tab w:val="right" w:leader="dot" w:pos="9062"/>
        </w:tabs>
        <w:rPr>
          <w:rFonts w:ascii="Times New Roman" w:hAnsi="Times New Roman" w:cs="Times New Roman"/>
        </w:rPr>
      </w:pPr>
      <w:r>
        <w:rPr>
          <w:rFonts w:ascii="Times New Roman" w:hAnsi="Times New Roman" w:cs="Times New Roman"/>
        </w:rPr>
        <w:lastRenderedPageBreak/>
        <w:t>P</w:t>
      </w:r>
      <w:r w:rsidR="00C4310D" w:rsidRPr="004E2D7B">
        <w:rPr>
          <w:rFonts w:ascii="Times New Roman" w:hAnsi="Times New Roman" w:cs="Times New Roman"/>
        </w:rPr>
        <w:t>OPIS SLIKA:</w:t>
      </w:r>
    </w:p>
    <w:p w:rsidR="00C4310D" w:rsidRPr="004E2D7B" w:rsidRDefault="002D0343">
      <w:pPr>
        <w:pStyle w:val="Tablicaslika"/>
        <w:tabs>
          <w:tab w:val="right" w:leader="dot" w:pos="9062"/>
        </w:tabs>
        <w:rPr>
          <w:rFonts w:ascii="Times New Roman" w:eastAsiaTheme="minorEastAsia" w:hAnsi="Times New Roman" w:cs="Times New Roman"/>
          <w:noProof/>
          <w:lang w:eastAsia="hr-HR"/>
        </w:rPr>
      </w:pPr>
      <w:r w:rsidRPr="004E2D7B">
        <w:rPr>
          <w:rFonts w:ascii="Times New Roman" w:hAnsi="Times New Roman" w:cs="Times New Roman"/>
        </w:rPr>
        <w:fldChar w:fldCharType="begin"/>
      </w:r>
      <w:r w:rsidR="00C4310D" w:rsidRPr="004E2D7B">
        <w:rPr>
          <w:rFonts w:ascii="Times New Roman" w:hAnsi="Times New Roman" w:cs="Times New Roman"/>
        </w:rPr>
        <w:instrText xml:space="preserve"> TOC \h \z \c "Slika" </w:instrText>
      </w:r>
      <w:r w:rsidRPr="004E2D7B">
        <w:rPr>
          <w:rFonts w:ascii="Times New Roman" w:hAnsi="Times New Roman" w:cs="Times New Roman"/>
        </w:rPr>
        <w:fldChar w:fldCharType="separate"/>
      </w:r>
      <w:hyperlink w:anchor="_Toc425251090" w:history="1">
        <w:r w:rsidR="00C4310D" w:rsidRPr="004E2D7B">
          <w:rPr>
            <w:rStyle w:val="Hiperveza"/>
            <w:rFonts w:ascii="Times New Roman" w:hAnsi="Times New Roman" w:cs="Times New Roman"/>
            <w:noProof/>
          </w:rPr>
          <w:t>Slika 1: Materijalni rashodi iskazani u financijskim izvještajima proračunskih i izvanproračunskih korisnika za 2014. godinu prema analiziranim skupinama</w:t>
        </w:r>
        <w:r w:rsidR="00C4310D" w:rsidRPr="004E2D7B">
          <w:rPr>
            <w:rFonts w:ascii="Times New Roman" w:hAnsi="Times New Roman" w:cs="Times New Roman"/>
            <w:noProof/>
            <w:webHidden/>
          </w:rPr>
          <w:tab/>
        </w:r>
        <w:r w:rsidRPr="004E2D7B">
          <w:rPr>
            <w:rFonts w:ascii="Times New Roman" w:hAnsi="Times New Roman" w:cs="Times New Roman"/>
            <w:noProof/>
            <w:webHidden/>
          </w:rPr>
          <w:fldChar w:fldCharType="begin"/>
        </w:r>
        <w:r w:rsidR="00C4310D" w:rsidRPr="004E2D7B">
          <w:rPr>
            <w:rFonts w:ascii="Times New Roman" w:hAnsi="Times New Roman" w:cs="Times New Roman"/>
            <w:noProof/>
            <w:webHidden/>
          </w:rPr>
          <w:instrText xml:space="preserve"> PAGEREF _Toc425251090 \h </w:instrText>
        </w:r>
        <w:r w:rsidRPr="004E2D7B">
          <w:rPr>
            <w:rFonts w:ascii="Times New Roman" w:hAnsi="Times New Roman" w:cs="Times New Roman"/>
            <w:noProof/>
            <w:webHidden/>
          </w:rPr>
        </w:r>
        <w:r w:rsidRPr="004E2D7B">
          <w:rPr>
            <w:rFonts w:ascii="Times New Roman" w:hAnsi="Times New Roman" w:cs="Times New Roman"/>
            <w:noProof/>
            <w:webHidden/>
          </w:rPr>
          <w:fldChar w:fldCharType="separate"/>
        </w:r>
        <w:r w:rsidR="0082637E">
          <w:rPr>
            <w:rFonts w:ascii="Times New Roman" w:hAnsi="Times New Roman" w:cs="Times New Roman"/>
            <w:noProof/>
            <w:webHidden/>
          </w:rPr>
          <w:t>6</w:t>
        </w:r>
        <w:r w:rsidRPr="004E2D7B">
          <w:rPr>
            <w:rFonts w:ascii="Times New Roman" w:hAnsi="Times New Roman" w:cs="Times New Roman"/>
            <w:noProof/>
            <w:webHidden/>
          </w:rPr>
          <w:fldChar w:fldCharType="end"/>
        </w:r>
      </w:hyperlink>
    </w:p>
    <w:p w:rsidR="001B1A8D" w:rsidRPr="004E2D7B" w:rsidRDefault="002D0343" w:rsidP="00C83540">
      <w:pPr>
        <w:spacing w:line="240" w:lineRule="auto"/>
        <w:rPr>
          <w:rFonts w:ascii="Times New Roman" w:hAnsi="Times New Roman" w:cs="Times New Roman"/>
        </w:rPr>
      </w:pPr>
      <w:r w:rsidRPr="004E2D7B">
        <w:rPr>
          <w:rFonts w:ascii="Times New Roman" w:hAnsi="Times New Roman" w:cs="Times New Roman"/>
        </w:rPr>
        <w:fldChar w:fldCharType="end"/>
      </w:r>
    </w:p>
    <w:p w:rsidR="001B1A8D" w:rsidRPr="004E2D7B" w:rsidRDefault="00426EBE" w:rsidP="00C83540">
      <w:pPr>
        <w:spacing w:line="240" w:lineRule="auto"/>
        <w:rPr>
          <w:rFonts w:ascii="Times New Roman" w:hAnsi="Times New Roman" w:cs="Times New Roman"/>
        </w:rPr>
      </w:pPr>
      <w:r w:rsidRPr="004E2D7B">
        <w:rPr>
          <w:rFonts w:ascii="Times New Roman" w:hAnsi="Times New Roman" w:cs="Times New Roman"/>
        </w:rPr>
        <w:t>POPIS TABELA:</w:t>
      </w:r>
    </w:p>
    <w:p w:rsidR="00AC4198" w:rsidRDefault="002D0343">
      <w:pPr>
        <w:pStyle w:val="Tablicaslika"/>
        <w:tabs>
          <w:tab w:val="right" w:leader="dot" w:pos="9062"/>
        </w:tabs>
        <w:rPr>
          <w:rFonts w:eastAsiaTheme="minorEastAsia"/>
          <w:noProof/>
          <w:lang w:eastAsia="hr-HR"/>
        </w:rPr>
      </w:pPr>
      <w:r w:rsidRPr="00901181">
        <w:rPr>
          <w:rFonts w:ascii="Times New Roman" w:hAnsi="Times New Roman" w:cs="Times New Roman"/>
        </w:rPr>
        <w:fldChar w:fldCharType="begin"/>
      </w:r>
      <w:r w:rsidR="00426EBE" w:rsidRPr="00901181">
        <w:rPr>
          <w:rFonts w:ascii="Times New Roman" w:hAnsi="Times New Roman" w:cs="Times New Roman"/>
        </w:rPr>
        <w:instrText xml:space="preserve"> TOC \h \z \c "Tabela" </w:instrText>
      </w:r>
      <w:r w:rsidRPr="00901181">
        <w:rPr>
          <w:rFonts w:ascii="Times New Roman" w:hAnsi="Times New Roman" w:cs="Times New Roman"/>
        </w:rPr>
        <w:fldChar w:fldCharType="separate"/>
      </w:r>
      <w:hyperlink w:anchor="_Toc436402248" w:history="1">
        <w:r w:rsidR="00AC4198" w:rsidRPr="00593B0B">
          <w:rPr>
            <w:rStyle w:val="Hiperveza"/>
            <w:rFonts w:ascii="Times New Roman" w:hAnsi="Times New Roman" w:cs="Times New Roman"/>
            <w:noProof/>
          </w:rPr>
          <w:t>Tabela 1: Ukupni materijalni rashodi prema podacima iskazanim u financijskim izvještajima proračunskih i izvanproračunskih korisnika za 2013. i 2014. godinu</w:t>
        </w:r>
        <w:r w:rsidR="00AC4198">
          <w:rPr>
            <w:noProof/>
            <w:webHidden/>
          </w:rPr>
          <w:tab/>
        </w:r>
        <w:r w:rsidR="00AC4198">
          <w:rPr>
            <w:noProof/>
            <w:webHidden/>
          </w:rPr>
          <w:fldChar w:fldCharType="begin"/>
        </w:r>
        <w:r w:rsidR="00AC4198">
          <w:rPr>
            <w:noProof/>
            <w:webHidden/>
          </w:rPr>
          <w:instrText xml:space="preserve"> PAGEREF _Toc436402248 \h </w:instrText>
        </w:r>
        <w:r w:rsidR="00AC4198">
          <w:rPr>
            <w:noProof/>
            <w:webHidden/>
          </w:rPr>
        </w:r>
        <w:r w:rsidR="00AC4198">
          <w:rPr>
            <w:noProof/>
            <w:webHidden/>
          </w:rPr>
          <w:fldChar w:fldCharType="separate"/>
        </w:r>
        <w:r w:rsidR="0082637E">
          <w:rPr>
            <w:noProof/>
            <w:webHidden/>
          </w:rPr>
          <w:t>7</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49" w:history="1">
        <w:r w:rsidR="00AC4198" w:rsidRPr="00593B0B">
          <w:rPr>
            <w:rStyle w:val="Hiperveza"/>
            <w:rFonts w:ascii="Times New Roman" w:hAnsi="Times New Roman" w:cs="Times New Roman"/>
            <w:noProof/>
          </w:rPr>
          <w:t>Tabela 2: Ukupni materijalni rashodi prema podacima iskazanim u državnom proračunu po izvorima – izvršenje za 2013., 2014. i plan za 2015. (u mil. kuna)</w:t>
        </w:r>
        <w:r w:rsidR="00AC4198">
          <w:rPr>
            <w:noProof/>
            <w:webHidden/>
          </w:rPr>
          <w:tab/>
        </w:r>
        <w:r w:rsidR="00AC4198">
          <w:rPr>
            <w:noProof/>
            <w:webHidden/>
          </w:rPr>
          <w:fldChar w:fldCharType="begin"/>
        </w:r>
        <w:r w:rsidR="00AC4198">
          <w:rPr>
            <w:noProof/>
            <w:webHidden/>
          </w:rPr>
          <w:instrText xml:space="preserve"> PAGEREF _Toc436402249 \h </w:instrText>
        </w:r>
        <w:r w:rsidR="00AC4198">
          <w:rPr>
            <w:noProof/>
            <w:webHidden/>
          </w:rPr>
        </w:r>
        <w:r w:rsidR="00AC4198">
          <w:rPr>
            <w:noProof/>
            <w:webHidden/>
          </w:rPr>
          <w:fldChar w:fldCharType="separate"/>
        </w:r>
        <w:r w:rsidR="0082637E">
          <w:rPr>
            <w:noProof/>
            <w:webHidden/>
          </w:rPr>
          <w:t>8</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50" w:history="1">
        <w:r w:rsidR="00AC4198" w:rsidRPr="00593B0B">
          <w:rPr>
            <w:rStyle w:val="Hiperveza"/>
            <w:rFonts w:ascii="Times New Roman" w:hAnsi="Times New Roman" w:cs="Times New Roman"/>
            <w:noProof/>
          </w:rPr>
          <w:t>Tabela 3: Ukupni materijalni rashodi prema podacima iskazanim u državnom proračunu po računima – izvršenje za 2013., 2014. i plan za 2015. (u mil. kuna)</w:t>
        </w:r>
        <w:r w:rsidR="00AC4198">
          <w:rPr>
            <w:noProof/>
            <w:webHidden/>
          </w:rPr>
          <w:tab/>
        </w:r>
        <w:r w:rsidR="00AC4198">
          <w:rPr>
            <w:noProof/>
            <w:webHidden/>
          </w:rPr>
          <w:fldChar w:fldCharType="begin"/>
        </w:r>
        <w:r w:rsidR="00AC4198">
          <w:rPr>
            <w:noProof/>
            <w:webHidden/>
          </w:rPr>
          <w:instrText xml:space="preserve"> PAGEREF _Toc436402250 \h </w:instrText>
        </w:r>
        <w:r w:rsidR="00AC4198">
          <w:rPr>
            <w:noProof/>
            <w:webHidden/>
          </w:rPr>
        </w:r>
        <w:r w:rsidR="00AC4198">
          <w:rPr>
            <w:noProof/>
            <w:webHidden/>
          </w:rPr>
          <w:fldChar w:fldCharType="separate"/>
        </w:r>
        <w:r w:rsidR="0082637E">
          <w:rPr>
            <w:noProof/>
            <w:webHidden/>
          </w:rPr>
          <w:t>9</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51" w:history="1">
        <w:r w:rsidR="00AC4198" w:rsidRPr="00593B0B">
          <w:rPr>
            <w:rStyle w:val="Hiperveza"/>
            <w:rFonts w:ascii="Times New Roman" w:hAnsi="Times New Roman" w:cs="Times New Roman"/>
            <w:noProof/>
          </w:rPr>
          <w:t>Tabela 4: Naknade troškova zaposlenima prema podacima iskazanim u financijskim izvještajima proračunskih i izvanproračunskih korisnika za 2013. i 2014. godinu</w:t>
        </w:r>
        <w:r w:rsidR="00AC4198">
          <w:rPr>
            <w:noProof/>
            <w:webHidden/>
          </w:rPr>
          <w:tab/>
        </w:r>
        <w:r w:rsidR="00AC4198">
          <w:rPr>
            <w:noProof/>
            <w:webHidden/>
          </w:rPr>
          <w:fldChar w:fldCharType="begin"/>
        </w:r>
        <w:r w:rsidR="00AC4198">
          <w:rPr>
            <w:noProof/>
            <w:webHidden/>
          </w:rPr>
          <w:instrText xml:space="preserve"> PAGEREF _Toc436402251 \h </w:instrText>
        </w:r>
        <w:r w:rsidR="00AC4198">
          <w:rPr>
            <w:noProof/>
            <w:webHidden/>
          </w:rPr>
        </w:r>
        <w:r w:rsidR="00AC4198">
          <w:rPr>
            <w:noProof/>
            <w:webHidden/>
          </w:rPr>
          <w:fldChar w:fldCharType="separate"/>
        </w:r>
        <w:r w:rsidR="0082637E">
          <w:rPr>
            <w:noProof/>
            <w:webHidden/>
          </w:rPr>
          <w:t>10</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52" w:history="1">
        <w:r w:rsidR="00AC4198" w:rsidRPr="00593B0B">
          <w:rPr>
            <w:rStyle w:val="Hiperveza"/>
            <w:rFonts w:ascii="Times New Roman" w:hAnsi="Times New Roman" w:cs="Times New Roman"/>
            <w:noProof/>
          </w:rPr>
          <w:t>Tabela 5: Naknade troškova zaposlenima prema podacima iskazanim u državnom proračunu – izvršenje za 2013., 2014. i plan za 2015. (u mil. kuna)</w:t>
        </w:r>
        <w:r w:rsidR="00AC4198">
          <w:rPr>
            <w:noProof/>
            <w:webHidden/>
          </w:rPr>
          <w:tab/>
        </w:r>
        <w:r w:rsidR="00AC4198">
          <w:rPr>
            <w:noProof/>
            <w:webHidden/>
          </w:rPr>
          <w:fldChar w:fldCharType="begin"/>
        </w:r>
        <w:r w:rsidR="00AC4198">
          <w:rPr>
            <w:noProof/>
            <w:webHidden/>
          </w:rPr>
          <w:instrText xml:space="preserve"> PAGEREF _Toc436402252 \h </w:instrText>
        </w:r>
        <w:r w:rsidR="00AC4198">
          <w:rPr>
            <w:noProof/>
            <w:webHidden/>
          </w:rPr>
        </w:r>
        <w:r w:rsidR="00AC4198">
          <w:rPr>
            <w:noProof/>
            <w:webHidden/>
          </w:rPr>
          <w:fldChar w:fldCharType="separate"/>
        </w:r>
        <w:r w:rsidR="0082637E">
          <w:rPr>
            <w:noProof/>
            <w:webHidden/>
          </w:rPr>
          <w:t>10</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53" w:history="1">
        <w:r w:rsidR="00AC4198" w:rsidRPr="00593B0B">
          <w:rPr>
            <w:rStyle w:val="Hiperveza"/>
            <w:rFonts w:ascii="Times New Roman" w:hAnsi="Times New Roman" w:cs="Times New Roman"/>
            <w:noProof/>
          </w:rPr>
          <w:t>Tabela 6: Službena putovanja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_Toc436402253 \h </w:instrText>
        </w:r>
        <w:r w:rsidR="00AC4198">
          <w:rPr>
            <w:noProof/>
            <w:webHidden/>
          </w:rPr>
        </w:r>
        <w:r w:rsidR="00AC4198">
          <w:rPr>
            <w:noProof/>
            <w:webHidden/>
          </w:rPr>
          <w:fldChar w:fldCharType="separate"/>
        </w:r>
        <w:r w:rsidR="0082637E">
          <w:rPr>
            <w:noProof/>
            <w:webHidden/>
          </w:rPr>
          <w:t>10</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54" w:history="1">
        <w:r w:rsidR="00AC4198" w:rsidRPr="00593B0B">
          <w:rPr>
            <w:rStyle w:val="Hiperveza"/>
            <w:rFonts w:ascii="Times New Roman" w:hAnsi="Times New Roman" w:cs="Times New Roman"/>
            <w:noProof/>
          </w:rPr>
          <w:t>Tabela 7: Službena putovanja prema podacima iskazanim u državnom proračunu – izvršenje za 2014. (u mil. kuna)</w:t>
        </w:r>
        <w:r w:rsidR="00AC4198">
          <w:rPr>
            <w:noProof/>
            <w:webHidden/>
          </w:rPr>
          <w:tab/>
        </w:r>
        <w:r w:rsidR="00AC4198">
          <w:rPr>
            <w:noProof/>
            <w:webHidden/>
          </w:rPr>
          <w:fldChar w:fldCharType="begin"/>
        </w:r>
        <w:r w:rsidR="00AC4198">
          <w:rPr>
            <w:noProof/>
            <w:webHidden/>
          </w:rPr>
          <w:instrText xml:space="preserve"> PAGEREF _Toc436402254 \h </w:instrText>
        </w:r>
        <w:r w:rsidR="00AC4198">
          <w:rPr>
            <w:noProof/>
            <w:webHidden/>
          </w:rPr>
        </w:r>
        <w:r w:rsidR="00AC4198">
          <w:rPr>
            <w:noProof/>
            <w:webHidden/>
          </w:rPr>
          <w:fldChar w:fldCharType="separate"/>
        </w:r>
        <w:r w:rsidR="0082637E">
          <w:rPr>
            <w:noProof/>
            <w:webHidden/>
          </w:rPr>
          <w:t>11</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55" w:history="1">
        <w:r w:rsidR="00AC4198" w:rsidRPr="00593B0B">
          <w:rPr>
            <w:rStyle w:val="Hiperveza"/>
            <w:rFonts w:ascii="Times New Roman" w:hAnsi="Times New Roman" w:cs="Times New Roman"/>
            <w:noProof/>
          </w:rPr>
          <w:t>Tabela 8: Naknade za prijevoz, za rad na terenu i odvojeni život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_Toc436402255 \h </w:instrText>
        </w:r>
        <w:r w:rsidR="00AC4198">
          <w:rPr>
            <w:noProof/>
            <w:webHidden/>
          </w:rPr>
        </w:r>
        <w:r w:rsidR="00AC4198">
          <w:rPr>
            <w:noProof/>
            <w:webHidden/>
          </w:rPr>
          <w:fldChar w:fldCharType="separate"/>
        </w:r>
        <w:r w:rsidR="0082637E">
          <w:rPr>
            <w:noProof/>
            <w:webHidden/>
          </w:rPr>
          <w:t>12</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56" w:history="1">
        <w:r w:rsidR="00AC4198" w:rsidRPr="00593B0B">
          <w:rPr>
            <w:rStyle w:val="Hiperveza"/>
            <w:rFonts w:ascii="Times New Roman" w:hAnsi="Times New Roman" w:cs="Times New Roman"/>
            <w:noProof/>
          </w:rPr>
          <w:t>Tabela 9: Naknade za prijevoz, za rad na terenu i odvojeni život prema podacima iskazanim u državnom proračunu – izvršenje za 2014. (u mil. kuna)</w:t>
        </w:r>
        <w:r w:rsidR="00AC4198">
          <w:rPr>
            <w:noProof/>
            <w:webHidden/>
          </w:rPr>
          <w:tab/>
        </w:r>
        <w:r w:rsidR="00AC4198">
          <w:rPr>
            <w:noProof/>
            <w:webHidden/>
          </w:rPr>
          <w:fldChar w:fldCharType="begin"/>
        </w:r>
        <w:r w:rsidR="00AC4198">
          <w:rPr>
            <w:noProof/>
            <w:webHidden/>
          </w:rPr>
          <w:instrText xml:space="preserve"> PAGEREF _Toc436402256 \h </w:instrText>
        </w:r>
        <w:r w:rsidR="00AC4198">
          <w:rPr>
            <w:noProof/>
            <w:webHidden/>
          </w:rPr>
        </w:r>
        <w:r w:rsidR="00AC4198">
          <w:rPr>
            <w:noProof/>
            <w:webHidden/>
          </w:rPr>
          <w:fldChar w:fldCharType="separate"/>
        </w:r>
        <w:r w:rsidR="0082637E">
          <w:rPr>
            <w:noProof/>
            <w:webHidden/>
          </w:rPr>
          <w:t>12</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57" w:history="1">
        <w:r w:rsidR="00AC4198" w:rsidRPr="00593B0B">
          <w:rPr>
            <w:rStyle w:val="Hiperveza"/>
            <w:rFonts w:ascii="Times New Roman" w:hAnsi="Times New Roman" w:cs="Times New Roman"/>
            <w:noProof/>
          </w:rPr>
          <w:t>Tabela 10: Stručno usavršavanje zaposlenika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_Toc436402257 \h </w:instrText>
        </w:r>
        <w:r w:rsidR="00AC4198">
          <w:rPr>
            <w:noProof/>
            <w:webHidden/>
          </w:rPr>
        </w:r>
        <w:r w:rsidR="00AC4198">
          <w:rPr>
            <w:noProof/>
            <w:webHidden/>
          </w:rPr>
          <w:fldChar w:fldCharType="separate"/>
        </w:r>
        <w:r w:rsidR="0082637E">
          <w:rPr>
            <w:noProof/>
            <w:webHidden/>
          </w:rPr>
          <w:t>13</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58" w:history="1">
        <w:r w:rsidR="00AC4198" w:rsidRPr="00593B0B">
          <w:rPr>
            <w:rStyle w:val="Hiperveza"/>
            <w:rFonts w:ascii="Times New Roman" w:hAnsi="Times New Roman" w:cs="Times New Roman"/>
            <w:noProof/>
          </w:rPr>
          <w:t>Tabela 11: Stručno usavršavanje zaposlenika prema podacima iskazanim u državnom proračunu – izvršenje za 2014. (u mil. kuna)</w:t>
        </w:r>
        <w:r w:rsidR="00AC4198">
          <w:rPr>
            <w:noProof/>
            <w:webHidden/>
          </w:rPr>
          <w:tab/>
        </w:r>
        <w:r w:rsidR="00AC4198">
          <w:rPr>
            <w:noProof/>
            <w:webHidden/>
          </w:rPr>
          <w:fldChar w:fldCharType="begin"/>
        </w:r>
        <w:r w:rsidR="00AC4198">
          <w:rPr>
            <w:noProof/>
            <w:webHidden/>
          </w:rPr>
          <w:instrText xml:space="preserve"> PAGEREF _Toc436402258 \h </w:instrText>
        </w:r>
        <w:r w:rsidR="00AC4198">
          <w:rPr>
            <w:noProof/>
            <w:webHidden/>
          </w:rPr>
        </w:r>
        <w:r w:rsidR="00AC4198">
          <w:rPr>
            <w:noProof/>
            <w:webHidden/>
          </w:rPr>
          <w:fldChar w:fldCharType="separate"/>
        </w:r>
        <w:r w:rsidR="0082637E">
          <w:rPr>
            <w:noProof/>
            <w:webHidden/>
          </w:rPr>
          <w:t>13</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59" w:history="1">
        <w:r w:rsidR="00AC4198" w:rsidRPr="00593B0B">
          <w:rPr>
            <w:rStyle w:val="Hiperveza"/>
            <w:rFonts w:ascii="Times New Roman" w:hAnsi="Times New Roman" w:cs="Times New Roman"/>
            <w:noProof/>
          </w:rPr>
          <w:t>Tabela 12: Ostale naknade zaposlenima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_Toc436402259 \h </w:instrText>
        </w:r>
        <w:r w:rsidR="00AC4198">
          <w:rPr>
            <w:noProof/>
            <w:webHidden/>
          </w:rPr>
        </w:r>
        <w:r w:rsidR="00AC4198">
          <w:rPr>
            <w:noProof/>
            <w:webHidden/>
          </w:rPr>
          <w:fldChar w:fldCharType="separate"/>
        </w:r>
        <w:r w:rsidR="0082637E">
          <w:rPr>
            <w:noProof/>
            <w:webHidden/>
          </w:rPr>
          <w:t>14</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60" w:history="1">
        <w:r w:rsidR="00AC4198" w:rsidRPr="00593B0B">
          <w:rPr>
            <w:rStyle w:val="Hiperveza"/>
            <w:rFonts w:ascii="Times New Roman" w:hAnsi="Times New Roman" w:cs="Times New Roman"/>
            <w:noProof/>
          </w:rPr>
          <w:t>Tabela 13: Ostale naknade zaposlenima prema podacima iskazanim u državnom proračunu – izvršenje za 2014. (u mil. kuna)</w:t>
        </w:r>
        <w:r w:rsidR="00AC4198">
          <w:rPr>
            <w:noProof/>
            <w:webHidden/>
          </w:rPr>
          <w:tab/>
        </w:r>
        <w:r w:rsidR="00AC4198">
          <w:rPr>
            <w:noProof/>
            <w:webHidden/>
          </w:rPr>
          <w:fldChar w:fldCharType="begin"/>
        </w:r>
        <w:r w:rsidR="00AC4198">
          <w:rPr>
            <w:noProof/>
            <w:webHidden/>
          </w:rPr>
          <w:instrText xml:space="preserve"> PAGEREF _Toc436402260 \h </w:instrText>
        </w:r>
        <w:r w:rsidR="00AC4198">
          <w:rPr>
            <w:noProof/>
            <w:webHidden/>
          </w:rPr>
        </w:r>
        <w:r w:rsidR="00AC4198">
          <w:rPr>
            <w:noProof/>
            <w:webHidden/>
          </w:rPr>
          <w:fldChar w:fldCharType="separate"/>
        </w:r>
        <w:r w:rsidR="0082637E">
          <w:rPr>
            <w:noProof/>
            <w:webHidden/>
          </w:rPr>
          <w:t>14</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61" w:history="1">
        <w:r w:rsidR="00AC4198" w:rsidRPr="00593B0B">
          <w:rPr>
            <w:rStyle w:val="Hiperveza"/>
            <w:rFonts w:ascii="Times New Roman" w:hAnsi="Times New Roman" w:cs="Times New Roman"/>
            <w:noProof/>
          </w:rPr>
          <w:t>Tabela 14: Rashodi za materijal i energiju prema podacima iskazanim u financijskim izvještajima proračunskih i izvanproračunskih korisnika za 2013. i 2014. godinu</w:t>
        </w:r>
        <w:r w:rsidR="00AC4198">
          <w:rPr>
            <w:noProof/>
            <w:webHidden/>
          </w:rPr>
          <w:tab/>
        </w:r>
        <w:r w:rsidR="00AC4198">
          <w:rPr>
            <w:noProof/>
            <w:webHidden/>
          </w:rPr>
          <w:fldChar w:fldCharType="begin"/>
        </w:r>
        <w:r w:rsidR="00AC4198">
          <w:rPr>
            <w:noProof/>
            <w:webHidden/>
          </w:rPr>
          <w:instrText xml:space="preserve"> PAGEREF _Toc436402261 \h </w:instrText>
        </w:r>
        <w:r w:rsidR="00AC4198">
          <w:rPr>
            <w:noProof/>
            <w:webHidden/>
          </w:rPr>
        </w:r>
        <w:r w:rsidR="00AC4198">
          <w:rPr>
            <w:noProof/>
            <w:webHidden/>
          </w:rPr>
          <w:fldChar w:fldCharType="separate"/>
        </w:r>
        <w:r w:rsidR="0082637E">
          <w:rPr>
            <w:noProof/>
            <w:webHidden/>
          </w:rPr>
          <w:t>15</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62" w:history="1">
        <w:r w:rsidR="00AC4198" w:rsidRPr="00593B0B">
          <w:rPr>
            <w:rStyle w:val="Hiperveza"/>
            <w:rFonts w:ascii="Times New Roman" w:hAnsi="Times New Roman" w:cs="Times New Roman"/>
            <w:noProof/>
          </w:rPr>
          <w:t>Tabela 15: Rashodi za materijal i energiju prema podacima iskazanim u državnom proračunu – izvršenje za 2013., 2014. i plan za 2015. (u mil. kuna)</w:t>
        </w:r>
        <w:r w:rsidR="00AC4198">
          <w:rPr>
            <w:noProof/>
            <w:webHidden/>
          </w:rPr>
          <w:tab/>
        </w:r>
        <w:r w:rsidR="00AC4198">
          <w:rPr>
            <w:noProof/>
            <w:webHidden/>
          </w:rPr>
          <w:fldChar w:fldCharType="begin"/>
        </w:r>
        <w:r w:rsidR="00AC4198">
          <w:rPr>
            <w:noProof/>
            <w:webHidden/>
          </w:rPr>
          <w:instrText xml:space="preserve"> PAGEREF _Toc436402262 \h </w:instrText>
        </w:r>
        <w:r w:rsidR="00AC4198">
          <w:rPr>
            <w:noProof/>
            <w:webHidden/>
          </w:rPr>
        </w:r>
        <w:r w:rsidR="00AC4198">
          <w:rPr>
            <w:noProof/>
            <w:webHidden/>
          </w:rPr>
          <w:fldChar w:fldCharType="separate"/>
        </w:r>
        <w:r w:rsidR="0082637E">
          <w:rPr>
            <w:noProof/>
            <w:webHidden/>
          </w:rPr>
          <w:t>15</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63" w:history="1">
        <w:r w:rsidR="00AC4198" w:rsidRPr="00593B0B">
          <w:rPr>
            <w:rStyle w:val="Hiperveza"/>
            <w:rFonts w:ascii="Times New Roman" w:hAnsi="Times New Roman" w:cs="Times New Roman"/>
            <w:noProof/>
          </w:rPr>
          <w:t>Tabela 16: Uredski materijal i ostali materijalni rashodi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_Toc436402263 \h </w:instrText>
        </w:r>
        <w:r w:rsidR="00AC4198">
          <w:rPr>
            <w:noProof/>
            <w:webHidden/>
          </w:rPr>
        </w:r>
        <w:r w:rsidR="00AC4198">
          <w:rPr>
            <w:noProof/>
            <w:webHidden/>
          </w:rPr>
          <w:fldChar w:fldCharType="separate"/>
        </w:r>
        <w:r w:rsidR="0082637E">
          <w:rPr>
            <w:noProof/>
            <w:webHidden/>
          </w:rPr>
          <w:t>16</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64" w:history="1">
        <w:r w:rsidR="00AC4198" w:rsidRPr="00593B0B">
          <w:rPr>
            <w:rStyle w:val="Hiperveza"/>
            <w:rFonts w:ascii="Times New Roman" w:hAnsi="Times New Roman" w:cs="Times New Roman"/>
            <w:noProof/>
          </w:rPr>
          <w:t>Tabela 17: Uredski materijal i ostali materijalni rashodi prema podacima iskazanim u državnom proračunu – izvršenje za 2014. (u mil.)</w:t>
        </w:r>
        <w:r w:rsidR="00AC4198">
          <w:rPr>
            <w:noProof/>
            <w:webHidden/>
          </w:rPr>
          <w:tab/>
        </w:r>
        <w:r w:rsidR="00AC4198">
          <w:rPr>
            <w:noProof/>
            <w:webHidden/>
          </w:rPr>
          <w:fldChar w:fldCharType="begin"/>
        </w:r>
        <w:r w:rsidR="00AC4198">
          <w:rPr>
            <w:noProof/>
            <w:webHidden/>
          </w:rPr>
          <w:instrText xml:space="preserve"> PAGEREF _Toc436402264 \h </w:instrText>
        </w:r>
        <w:r w:rsidR="00AC4198">
          <w:rPr>
            <w:noProof/>
            <w:webHidden/>
          </w:rPr>
        </w:r>
        <w:r w:rsidR="00AC4198">
          <w:rPr>
            <w:noProof/>
            <w:webHidden/>
          </w:rPr>
          <w:fldChar w:fldCharType="separate"/>
        </w:r>
        <w:r w:rsidR="0082637E">
          <w:rPr>
            <w:noProof/>
            <w:webHidden/>
          </w:rPr>
          <w:t>16</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65" w:history="1">
        <w:r w:rsidR="00AC4198" w:rsidRPr="00593B0B">
          <w:rPr>
            <w:rStyle w:val="Hiperveza"/>
            <w:rFonts w:ascii="Times New Roman" w:hAnsi="Times New Roman" w:cs="Times New Roman"/>
            <w:noProof/>
          </w:rPr>
          <w:t>Tabela 18: Uredski materijal (3221) prema podacima Državnog ureda za središnju javnu nabavu – procjena potrošnje u 2015. za tijela izvršne vlasti – VRH, HS, ministarstva, državni uredi, državne upravne organizacije  (u kn, bez PDV-a)</w:t>
        </w:r>
        <w:r w:rsidR="00AC4198">
          <w:rPr>
            <w:noProof/>
            <w:webHidden/>
          </w:rPr>
          <w:tab/>
        </w:r>
        <w:r w:rsidR="00AC4198">
          <w:rPr>
            <w:noProof/>
            <w:webHidden/>
          </w:rPr>
          <w:fldChar w:fldCharType="begin"/>
        </w:r>
        <w:r w:rsidR="00AC4198">
          <w:rPr>
            <w:noProof/>
            <w:webHidden/>
          </w:rPr>
          <w:instrText xml:space="preserve"> PAGEREF _Toc436402265 \h </w:instrText>
        </w:r>
        <w:r w:rsidR="00AC4198">
          <w:rPr>
            <w:noProof/>
            <w:webHidden/>
          </w:rPr>
        </w:r>
        <w:r w:rsidR="00AC4198">
          <w:rPr>
            <w:noProof/>
            <w:webHidden/>
          </w:rPr>
          <w:fldChar w:fldCharType="separate"/>
        </w:r>
        <w:r w:rsidR="0082637E">
          <w:rPr>
            <w:noProof/>
            <w:webHidden/>
          </w:rPr>
          <w:t>17</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66" w:history="1">
        <w:r w:rsidR="00AC4198" w:rsidRPr="00593B0B">
          <w:rPr>
            <w:rStyle w:val="Hiperveza"/>
            <w:rFonts w:ascii="Times New Roman" w:hAnsi="Times New Roman" w:cs="Times New Roman"/>
            <w:noProof/>
          </w:rPr>
          <w:t>Tabela 19: Potrošni materijal, sredstva za čišćenje i održavanje i materijal za higijenske potrebe i njegu (3221) prema podacima Državnog ureda za središnju javnu nabavu – procjena potrošnje u 2015.  za tijela izvršne vlasti – VRH, HS, ministarstva, državni uredi, državne upravne organizacije (u kn, bez PDV-a)</w:t>
        </w:r>
        <w:r w:rsidR="00AC4198">
          <w:rPr>
            <w:noProof/>
            <w:webHidden/>
          </w:rPr>
          <w:tab/>
        </w:r>
        <w:r w:rsidR="00AC4198">
          <w:rPr>
            <w:noProof/>
            <w:webHidden/>
          </w:rPr>
          <w:fldChar w:fldCharType="begin"/>
        </w:r>
        <w:r w:rsidR="00AC4198">
          <w:rPr>
            <w:noProof/>
            <w:webHidden/>
          </w:rPr>
          <w:instrText xml:space="preserve"> PAGEREF _Toc436402266 \h </w:instrText>
        </w:r>
        <w:r w:rsidR="00AC4198">
          <w:rPr>
            <w:noProof/>
            <w:webHidden/>
          </w:rPr>
        </w:r>
        <w:r w:rsidR="00AC4198">
          <w:rPr>
            <w:noProof/>
            <w:webHidden/>
          </w:rPr>
          <w:fldChar w:fldCharType="separate"/>
        </w:r>
        <w:r w:rsidR="0082637E">
          <w:rPr>
            <w:noProof/>
            <w:webHidden/>
          </w:rPr>
          <w:t>17</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67" w:history="1">
        <w:r w:rsidR="00AC4198" w:rsidRPr="00593B0B">
          <w:rPr>
            <w:rStyle w:val="Hiperveza"/>
            <w:rFonts w:ascii="Times New Roman" w:hAnsi="Times New Roman" w:cs="Times New Roman"/>
            <w:noProof/>
          </w:rPr>
          <w:t>Tabela 20: Materijal i sirovine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_Toc436402267 \h </w:instrText>
        </w:r>
        <w:r w:rsidR="00AC4198">
          <w:rPr>
            <w:noProof/>
            <w:webHidden/>
          </w:rPr>
        </w:r>
        <w:r w:rsidR="00AC4198">
          <w:rPr>
            <w:noProof/>
            <w:webHidden/>
          </w:rPr>
          <w:fldChar w:fldCharType="separate"/>
        </w:r>
        <w:r w:rsidR="0082637E">
          <w:rPr>
            <w:noProof/>
            <w:webHidden/>
          </w:rPr>
          <w:t>18</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68" w:history="1">
        <w:r w:rsidR="00AC4198" w:rsidRPr="00593B0B">
          <w:rPr>
            <w:rStyle w:val="Hiperveza"/>
            <w:rFonts w:ascii="Times New Roman" w:hAnsi="Times New Roman" w:cs="Times New Roman"/>
            <w:noProof/>
          </w:rPr>
          <w:t>Tabela 21: Materijal i sirovine prema podacima iskazanim u državnom proračunu – izvršenje za 2014. (u mil. kuna)</w:t>
        </w:r>
        <w:r w:rsidR="00AC4198">
          <w:rPr>
            <w:noProof/>
            <w:webHidden/>
          </w:rPr>
          <w:tab/>
        </w:r>
        <w:r w:rsidR="00AC4198">
          <w:rPr>
            <w:noProof/>
            <w:webHidden/>
          </w:rPr>
          <w:fldChar w:fldCharType="begin"/>
        </w:r>
        <w:r w:rsidR="00AC4198">
          <w:rPr>
            <w:noProof/>
            <w:webHidden/>
          </w:rPr>
          <w:instrText xml:space="preserve"> PAGEREF _Toc436402268 \h </w:instrText>
        </w:r>
        <w:r w:rsidR="00AC4198">
          <w:rPr>
            <w:noProof/>
            <w:webHidden/>
          </w:rPr>
        </w:r>
        <w:r w:rsidR="00AC4198">
          <w:rPr>
            <w:noProof/>
            <w:webHidden/>
          </w:rPr>
          <w:fldChar w:fldCharType="separate"/>
        </w:r>
        <w:r w:rsidR="0082637E">
          <w:rPr>
            <w:noProof/>
            <w:webHidden/>
          </w:rPr>
          <w:t>18</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69" w:history="1">
        <w:r w:rsidR="00AC4198" w:rsidRPr="00593B0B">
          <w:rPr>
            <w:rStyle w:val="Hiperveza"/>
            <w:rFonts w:ascii="Times New Roman" w:hAnsi="Times New Roman" w:cs="Times New Roman"/>
            <w:noProof/>
          </w:rPr>
          <w:t>Tabela 22: Energija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_Toc436402269 \h </w:instrText>
        </w:r>
        <w:r w:rsidR="00AC4198">
          <w:rPr>
            <w:noProof/>
            <w:webHidden/>
          </w:rPr>
        </w:r>
        <w:r w:rsidR="00AC4198">
          <w:rPr>
            <w:noProof/>
            <w:webHidden/>
          </w:rPr>
          <w:fldChar w:fldCharType="separate"/>
        </w:r>
        <w:r w:rsidR="0082637E">
          <w:rPr>
            <w:noProof/>
            <w:webHidden/>
          </w:rPr>
          <w:t>19</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70" w:history="1">
        <w:r w:rsidR="00AC4198" w:rsidRPr="00593B0B">
          <w:rPr>
            <w:rStyle w:val="Hiperveza"/>
            <w:rFonts w:ascii="Times New Roman" w:hAnsi="Times New Roman" w:cs="Times New Roman"/>
            <w:noProof/>
          </w:rPr>
          <w:t>Tabela 23: Energija prema podacima iskazanim u državnom proračunu – izvršenje za 2014. (u mil. kuna)</w:t>
        </w:r>
        <w:r w:rsidR="00AC4198">
          <w:rPr>
            <w:noProof/>
            <w:webHidden/>
          </w:rPr>
          <w:tab/>
        </w:r>
        <w:r w:rsidR="00AC4198">
          <w:rPr>
            <w:noProof/>
            <w:webHidden/>
          </w:rPr>
          <w:fldChar w:fldCharType="begin"/>
        </w:r>
        <w:r w:rsidR="00AC4198">
          <w:rPr>
            <w:noProof/>
            <w:webHidden/>
          </w:rPr>
          <w:instrText xml:space="preserve"> PAGEREF _Toc436402270 \h </w:instrText>
        </w:r>
        <w:r w:rsidR="00AC4198">
          <w:rPr>
            <w:noProof/>
            <w:webHidden/>
          </w:rPr>
        </w:r>
        <w:r w:rsidR="00AC4198">
          <w:rPr>
            <w:noProof/>
            <w:webHidden/>
          </w:rPr>
          <w:fldChar w:fldCharType="separate"/>
        </w:r>
        <w:r w:rsidR="0082637E">
          <w:rPr>
            <w:noProof/>
            <w:webHidden/>
          </w:rPr>
          <w:t>19</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71" w:history="1">
        <w:r w:rsidR="00AC4198" w:rsidRPr="00593B0B">
          <w:rPr>
            <w:rStyle w:val="Hiperveza"/>
            <w:rFonts w:ascii="Times New Roman" w:hAnsi="Times New Roman" w:cs="Times New Roman"/>
            <w:noProof/>
          </w:rPr>
          <w:t>Tabela 24: Službena vozila prema podacima koje su korisnici dostavili u Upitniku za reformske mjere</w:t>
        </w:r>
        <w:r w:rsidR="00AC4198">
          <w:rPr>
            <w:noProof/>
            <w:webHidden/>
          </w:rPr>
          <w:tab/>
        </w:r>
        <w:r w:rsidR="00AC4198">
          <w:rPr>
            <w:noProof/>
            <w:webHidden/>
          </w:rPr>
          <w:fldChar w:fldCharType="begin"/>
        </w:r>
        <w:r w:rsidR="00AC4198">
          <w:rPr>
            <w:noProof/>
            <w:webHidden/>
          </w:rPr>
          <w:instrText xml:space="preserve"> PAGEREF _Toc436402271 \h </w:instrText>
        </w:r>
        <w:r w:rsidR="00AC4198">
          <w:rPr>
            <w:noProof/>
            <w:webHidden/>
          </w:rPr>
        </w:r>
        <w:r w:rsidR="00AC4198">
          <w:rPr>
            <w:noProof/>
            <w:webHidden/>
          </w:rPr>
          <w:fldChar w:fldCharType="separate"/>
        </w:r>
        <w:r w:rsidR="0082637E">
          <w:rPr>
            <w:noProof/>
            <w:webHidden/>
          </w:rPr>
          <w:t>21</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72" w:history="1">
        <w:r w:rsidR="00AC4198" w:rsidRPr="00593B0B">
          <w:rPr>
            <w:rStyle w:val="Hiperveza"/>
            <w:rFonts w:ascii="Times New Roman" w:hAnsi="Times New Roman" w:cs="Times New Roman"/>
            <w:noProof/>
          </w:rPr>
          <w:t>Tabela 25: Materijal i dijelovi za tekuće i investicijsko održavanje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_Toc436402272 \h </w:instrText>
        </w:r>
        <w:r w:rsidR="00AC4198">
          <w:rPr>
            <w:noProof/>
            <w:webHidden/>
          </w:rPr>
        </w:r>
        <w:r w:rsidR="00AC4198">
          <w:rPr>
            <w:noProof/>
            <w:webHidden/>
          </w:rPr>
          <w:fldChar w:fldCharType="separate"/>
        </w:r>
        <w:r w:rsidR="0082637E">
          <w:rPr>
            <w:noProof/>
            <w:webHidden/>
          </w:rPr>
          <w:t>21</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73" w:history="1">
        <w:r w:rsidR="00AC4198" w:rsidRPr="00593B0B">
          <w:rPr>
            <w:rStyle w:val="Hiperveza"/>
            <w:rFonts w:ascii="Times New Roman" w:hAnsi="Times New Roman" w:cs="Times New Roman"/>
            <w:noProof/>
          </w:rPr>
          <w:t>Tabela 26: Materijal i dijelovi za tekuće i investicijsko održavanje prema podacima iskazanim u državnom proračunu – izvršenje za 2014. (u mil. kuna)</w:t>
        </w:r>
        <w:r w:rsidR="00AC4198">
          <w:rPr>
            <w:noProof/>
            <w:webHidden/>
          </w:rPr>
          <w:tab/>
        </w:r>
        <w:r w:rsidR="00AC4198">
          <w:rPr>
            <w:noProof/>
            <w:webHidden/>
          </w:rPr>
          <w:fldChar w:fldCharType="begin"/>
        </w:r>
        <w:r w:rsidR="00AC4198">
          <w:rPr>
            <w:noProof/>
            <w:webHidden/>
          </w:rPr>
          <w:instrText xml:space="preserve"> PAGEREF _Toc436402273 \h </w:instrText>
        </w:r>
        <w:r w:rsidR="00AC4198">
          <w:rPr>
            <w:noProof/>
            <w:webHidden/>
          </w:rPr>
        </w:r>
        <w:r w:rsidR="00AC4198">
          <w:rPr>
            <w:noProof/>
            <w:webHidden/>
          </w:rPr>
          <w:fldChar w:fldCharType="separate"/>
        </w:r>
        <w:r w:rsidR="0082637E">
          <w:rPr>
            <w:noProof/>
            <w:webHidden/>
          </w:rPr>
          <w:t>22</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74" w:history="1">
        <w:r w:rsidR="00AC4198" w:rsidRPr="00593B0B">
          <w:rPr>
            <w:rStyle w:val="Hiperveza"/>
            <w:rFonts w:ascii="Times New Roman" w:hAnsi="Times New Roman" w:cs="Times New Roman"/>
            <w:noProof/>
          </w:rPr>
          <w:t>Tabela 27: Sitni inventar i auto gume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_Toc436402274 \h </w:instrText>
        </w:r>
        <w:r w:rsidR="00AC4198">
          <w:rPr>
            <w:noProof/>
            <w:webHidden/>
          </w:rPr>
        </w:r>
        <w:r w:rsidR="00AC4198">
          <w:rPr>
            <w:noProof/>
            <w:webHidden/>
          </w:rPr>
          <w:fldChar w:fldCharType="separate"/>
        </w:r>
        <w:r w:rsidR="0082637E">
          <w:rPr>
            <w:noProof/>
            <w:webHidden/>
          </w:rPr>
          <w:t>23</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75" w:history="1">
        <w:r w:rsidR="00AC4198" w:rsidRPr="00593B0B">
          <w:rPr>
            <w:rStyle w:val="Hiperveza"/>
            <w:rFonts w:ascii="Times New Roman" w:hAnsi="Times New Roman" w:cs="Times New Roman"/>
            <w:noProof/>
          </w:rPr>
          <w:t>Tabela 28: Sitni inventar i auto gume prema podacima iskazanim u državnom proračunu – izvršenje za 2014. (u mil. kuna)</w:t>
        </w:r>
        <w:r w:rsidR="00AC4198">
          <w:rPr>
            <w:noProof/>
            <w:webHidden/>
          </w:rPr>
          <w:tab/>
        </w:r>
        <w:r w:rsidR="00AC4198">
          <w:rPr>
            <w:noProof/>
            <w:webHidden/>
          </w:rPr>
          <w:fldChar w:fldCharType="begin"/>
        </w:r>
        <w:r w:rsidR="00AC4198">
          <w:rPr>
            <w:noProof/>
            <w:webHidden/>
          </w:rPr>
          <w:instrText xml:space="preserve"> PAGEREF _Toc436402275 \h </w:instrText>
        </w:r>
        <w:r w:rsidR="00AC4198">
          <w:rPr>
            <w:noProof/>
            <w:webHidden/>
          </w:rPr>
        </w:r>
        <w:r w:rsidR="00AC4198">
          <w:rPr>
            <w:noProof/>
            <w:webHidden/>
          </w:rPr>
          <w:fldChar w:fldCharType="separate"/>
        </w:r>
        <w:r w:rsidR="0082637E">
          <w:rPr>
            <w:noProof/>
            <w:webHidden/>
          </w:rPr>
          <w:t>23</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76" w:history="1">
        <w:r w:rsidR="00AC4198" w:rsidRPr="00593B0B">
          <w:rPr>
            <w:rStyle w:val="Hiperveza"/>
            <w:rFonts w:ascii="Times New Roman" w:hAnsi="Times New Roman" w:cs="Times New Roman"/>
            <w:noProof/>
          </w:rPr>
          <w:t>Tabela 29: Službena, radna i zaštitna odjeća i obuća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_Toc436402276 \h </w:instrText>
        </w:r>
        <w:r w:rsidR="00AC4198">
          <w:rPr>
            <w:noProof/>
            <w:webHidden/>
          </w:rPr>
        </w:r>
        <w:r w:rsidR="00AC4198">
          <w:rPr>
            <w:noProof/>
            <w:webHidden/>
          </w:rPr>
          <w:fldChar w:fldCharType="separate"/>
        </w:r>
        <w:r w:rsidR="0082637E">
          <w:rPr>
            <w:noProof/>
            <w:webHidden/>
          </w:rPr>
          <w:t>24</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77" w:history="1">
        <w:r w:rsidR="00AC4198" w:rsidRPr="00593B0B">
          <w:rPr>
            <w:rStyle w:val="Hiperveza"/>
            <w:rFonts w:ascii="Times New Roman" w:hAnsi="Times New Roman" w:cs="Times New Roman"/>
            <w:noProof/>
          </w:rPr>
          <w:t>Tabela 30: Rashodi za usluge prema podacima iskazanim u financijskim izvještajima proračunskih i izvanproračunskih korisnika za 2013. i 2014. godinu</w:t>
        </w:r>
        <w:r w:rsidR="00AC4198">
          <w:rPr>
            <w:noProof/>
            <w:webHidden/>
          </w:rPr>
          <w:tab/>
        </w:r>
        <w:r w:rsidR="00AC4198">
          <w:rPr>
            <w:noProof/>
            <w:webHidden/>
          </w:rPr>
          <w:fldChar w:fldCharType="begin"/>
        </w:r>
        <w:r w:rsidR="00AC4198">
          <w:rPr>
            <w:noProof/>
            <w:webHidden/>
          </w:rPr>
          <w:instrText xml:space="preserve"> PAGEREF _Toc436402277 \h </w:instrText>
        </w:r>
        <w:r w:rsidR="00AC4198">
          <w:rPr>
            <w:noProof/>
            <w:webHidden/>
          </w:rPr>
        </w:r>
        <w:r w:rsidR="00AC4198">
          <w:rPr>
            <w:noProof/>
            <w:webHidden/>
          </w:rPr>
          <w:fldChar w:fldCharType="separate"/>
        </w:r>
        <w:r w:rsidR="0082637E">
          <w:rPr>
            <w:noProof/>
            <w:webHidden/>
          </w:rPr>
          <w:t>25</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78" w:history="1">
        <w:r w:rsidR="00AC4198" w:rsidRPr="00593B0B">
          <w:rPr>
            <w:rStyle w:val="Hiperveza"/>
            <w:rFonts w:ascii="Times New Roman" w:hAnsi="Times New Roman" w:cs="Times New Roman"/>
            <w:noProof/>
          </w:rPr>
          <w:t>Tabela 31: Rashodi za usluge prema podacima iskazanim u državnom proračunu – izvršenje za 2013., 2014. i plan za 2015. (u mil. kuna)</w:t>
        </w:r>
        <w:r w:rsidR="00AC4198">
          <w:rPr>
            <w:noProof/>
            <w:webHidden/>
          </w:rPr>
          <w:tab/>
        </w:r>
        <w:r w:rsidR="00AC4198">
          <w:rPr>
            <w:noProof/>
            <w:webHidden/>
          </w:rPr>
          <w:fldChar w:fldCharType="begin"/>
        </w:r>
        <w:r w:rsidR="00AC4198">
          <w:rPr>
            <w:noProof/>
            <w:webHidden/>
          </w:rPr>
          <w:instrText xml:space="preserve"> PAGEREF _Toc436402278 \h </w:instrText>
        </w:r>
        <w:r w:rsidR="00AC4198">
          <w:rPr>
            <w:noProof/>
            <w:webHidden/>
          </w:rPr>
        </w:r>
        <w:r w:rsidR="00AC4198">
          <w:rPr>
            <w:noProof/>
            <w:webHidden/>
          </w:rPr>
          <w:fldChar w:fldCharType="separate"/>
        </w:r>
        <w:r w:rsidR="0082637E">
          <w:rPr>
            <w:noProof/>
            <w:webHidden/>
          </w:rPr>
          <w:t>25</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79" w:history="1">
        <w:r w:rsidR="00AC4198" w:rsidRPr="00593B0B">
          <w:rPr>
            <w:rStyle w:val="Hiperveza"/>
            <w:rFonts w:ascii="Times New Roman" w:hAnsi="Times New Roman" w:cs="Times New Roman"/>
            <w:noProof/>
          </w:rPr>
          <w:t>Tabela 32: Usluge telefona, pošte i prijevoza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_Toc436402279 \h </w:instrText>
        </w:r>
        <w:r w:rsidR="00AC4198">
          <w:rPr>
            <w:noProof/>
            <w:webHidden/>
          </w:rPr>
        </w:r>
        <w:r w:rsidR="00AC4198">
          <w:rPr>
            <w:noProof/>
            <w:webHidden/>
          </w:rPr>
          <w:fldChar w:fldCharType="separate"/>
        </w:r>
        <w:r w:rsidR="0082637E">
          <w:rPr>
            <w:noProof/>
            <w:webHidden/>
          </w:rPr>
          <w:t>26</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80" w:history="1">
        <w:r w:rsidR="00AC4198" w:rsidRPr="00593B0B">
          <w:rPr>
            <w:rStyle w:val="Hiperveza"/>
            <w:rFonts w:ascii="Times New Roman" w:hAnsi="Times New Roman" w:cs="Times New Roman"/>
            <w:noProof/>
          </w:rPr>
          <w:t>Tabela 33: Usluge telefona, pošte i prijevoza prema podacima iskazanim u državnom proračunu – izvršenje za 2014. (u mil. kuna)</w:t>
        </w:r>
        <w:r w:rsidR="00AC4198">
          <w:rPr>
            <w:noProof/>
            <w:webHidden/>
          </w:rPr>
          <w:tab/>
        </w:r>
        <w:r w:rsidR="00AC4198">
          <w:rPr>
            <w:noProof/>
            <w:webHidden/>
          </w:rPr>
          <w:fldChar w:fldCharType="begin"/>
        </w:r>
        <w:r w:rsidR="00AC4198">
          <w:rPr>
            <w:noProof/>
            <w:webHidden/>
          </w:rPr>
          <w:instrText xml:space="preserve"> PAGEREF _Toc436402280 \h </w:instrText>
        </w:r>
        <w:r w:rsidR="00AC4198">
          <w:rPr>
            <w:noProof/>
            <w:webHidden/>
          </w:rPr>
        </w:r>
        <w:r w:rsidR="00AC4198">
          <w:rPr>
            <w:noProof/>
            <w:webHidden/>
          </w:rPr>
          <w:fldChar w:fldCharType="separate"/>
        </w:r>
        <w:r w:rsidR="0082637E">
          <w:rPr>
            <w:noProof/>
            <w:webHidden/>
          </w:rPr>
          <w:t>26</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81" w:history="1">
        <w:r w:rsidR="00AC4198" w:rsidRPr="00593B0B">
          <w:rPr>
            <w:rStyle w:val="Hiperveza"/>
            <w:rFonts w:ascii="Times New Roman" w:hAnsi="Times New Roman" w:cs="Times New Roman"/>
            <w:noProof/>
          </w:rPr>
          <w:t>Tabela 34: Usluge tekućeg i investicijskog održavanja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_Toc436402281 \h </w:instrText>
        </w:r>
        <w:r w:rsidR="00AC4198">
          <w:rPr>
            <w:noProof/>
            <w:webHidden/>
          </w:rPr>
        </w:r>
        <w:r w:rsidR="00AC4198">
          <w:rPr>
            <w:noProof/>
            <w:webHidden/>
          </w:rPr>
          <w:fldChar w:fldCharType="separate"/>
        </w:r>
        <w:r w:rsidR="0082637E">
          <w:rPr>
            <w:noProof/>
            <w:webHidden/>
          </w:rPr>
          <w:t>28</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82" w:history="1">
        <w:r w:rsidR="00AC4198" w:rsidRPr="00593B0B">
          <w:rPr>
            <w:rStyle w:val="Hiperveza"/>
            <w:rFonts w:ascii="Times New Roman" w:hAnsi="Times New Roman" w:cs="Times New Roman"/>
            <w:noProof/>
          </w:rPr>
          <w:t>Tabela 35: Usluge tekućeg i investicijskog održavanja prema podacima iskazanim u državnom proračunu – izvršenje za 2014. (u mil. kuna)</w:t>
        </w:r>
        <w:r w:rsidR="00AC4198">
          <w:rPr>
            <w:noProof/>
            <w:webHidden/>
          </w:rPr>
          <w:tab/>
        </w:r>
        <w:r w:rsidR="00AC4198">
          <w:rPr>
            <w:noProof/>
            <w:webHidden/>
          </w:rPr>
          <w:fldChar w:fldCharType="begin"/>
        </w:r>
        <w:r w:rsidR="00AC4198">
          <w:rPr>
            <w:noProof/>
            <w:webHidden/>
          </w:rPr>
          <w:instrText xml:space="preserve"> PAGEREF _Toc436402282 \h </w:instrText>
        </w:r>
        <w:r w:rsidR="00AC4198">
          <w:rPr>
            <w:noProof/>
            <w:webHidden/>
          </w:rPr>
        </w:r>
        <w:r w:rsidR="00AC4198">
          <w:rPr>
            <w:noProof/>
            <w:webHidden/>
          </w:rPr>
          <w:fldChar w:fldCharType="separate"/>
        </w:r>
        <w:r w:rsidR="0082637E">
          <w:rPr>
            <w:noProof/>
            <w:webHidden/>
          </w:rPr>
          <w:t>29</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83" w:history="1">
        <w:r w:rsidR="00AC4198" w:rsidRPr="00593B0B">
          <w:rPr>
            <w:rStyle w:val="Hiperveza"/>
            <w:rFonts w:ascii="Times New Roman" w:hAnsi="Times New Roman" w:cs="Times New Roman"/>
            <w:noProof/>
          </w:rPr>
          <w:t>Tabela 36: Usluge promidžbe i informiranja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_Toc436402283 \h </w:instrText>
        </w:r>
        <w:r w:rsidR="00AC4198">
          <w:rPr>
            <w:noProof/>
            <w:webHidden/>
          </w:rPr>
        </w:r>
        <w:r w:rsidR="00AC4198">
          <w:rPr>
            <w:noProof/>
            <w:webHidden/>
          </w:rPr>
          <w:fldChar w:fldCharType="separate"/>
        </w:r>
        <w:r w:rsidR="0082637E">
          <w:rPr>
            <w:noProof/>
            <w:webHidden/>
          </w:rPr>
          <w:t>29</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84" w:history="1">
        <w:r w:rsidR="00AC4198" w:rsidRPr="00593B0B">
          <w:rPr>
            <w:rStyle w:val="Hiperveza"/>
            <w:rFonts w:ascii="Times New Roman" w:hAnsi="Times New Roman" w:cs="Times New Roman"/>
            <w:noProof/>
          </w:rPr>
          <w:t>Tabela 37: : Usluge promidžbe i informiranja prema podacima iskazanim u državnom proračunu – izvršenje za 2014. (u mil. kuna)</w:t>
        </w:r>
        <w:r w:rsidR="00AC4198">
          <w:rPr>
            <w:noProof/>
            <w:webHidden/>
          </w:rPr>
          <w:tab/>
        </w:r>
        <w:r w:rsidR="00AC4198">
          <w:rPr>
            <w:noProof/>
            <w:webHidden/>
          </w:rPr>
          <w:fldChar w:fldCharType="begin"/>
        </w:r>
        <w:r w:rsidR="00AC4198">
          <w:rPr>
            <w:noProof/>
            <w:webHidden/>
          </w:rPr>
          <w:instrText xml:space="preserve"> PAGEREF _Toc436402284 \h </w:instrText>
        </w:r>
        <w:r w:rsidR="00AC4198">
          <w:rPr>
            <w:noProof/>
            <w:webHidden/>
          </w:rPr>
        </w:r>
        <w:r w:rsidR="00AC4198">
          <w:rPr>
            <w:noProof/>
            <w:webHidden/>
          </w:rPr>
          <w:fldChar w:fldCharType="separate"/>
        </w:r>
        <w:r w:rsidR="0082637E">
          <w:rPr>
            <w:noProof/>
            <w:webHidden/>
          </w:rPr>
          <w:t>30</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85" w:history="1">
        <w:r w:rsidR="00AC4198" w:rsidRPr="00593B0B">
          <w:rPr>
            <w:rStyle w:val="Hiperveza"/>
            <w:rFonts w:ascii="Times New Roman" w:hAnsi="Times New Roman" w:cs="Times New Roman"/>
            <w:noProof/>
          </w:rPr>
          <w:t>Tabela 38: Komunalne usluge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_Toc436402285 \h </w:instrText>
        </w:r>
        <w:r w:rsidR="00AC4198">
          <w:rPr>
            <w:noProof/>
            <w:webHidden/>
          </w:rPr>
        </w:r>
        <w:r w:rsidR="00AC4198">
          <w:rPr>
            <w:noProof/>
            <w:webHidden/>
          </w:rPr>
          <w:fldChar w:fldCharType="separate"/>
        </w:r>
        <w:r w:rsidR="0082637E">
          <w:rPr>
            <w:noProof/>
            <w:webHidden/>
          </w:rPr>
          <w:t>30</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86" w:history="1">
        <w:r w:rsidR="00AC4198" w:rsidRPr="00593B0B">
          <w:rPr>
            <w:rStyle w:val="Hiperveza"/>
            <w:rFonts w:ascii="Times New Roman" w:hAnsi="Times New Roman" w:cs="Times New Roman"/>
            <w:noProof/>
          </w:rPr>
          <w:t>Tabela 39: Komunalne usluge prema podacima iskazanim u državnom proračunu – izvršenje za 2014. (u mil. kuna)</w:t>
        </w:r>
        <w:r w:rsidR="00AC4198">
          <w:rPr>
            <w:noProof/>
            <w:webHidden/>
          </w:rPr>
          <w:tab/>
        </w:r>
        <w:r w:rsidR="00AC4198">
          <w:rPr>
            <w:noProof/>
            <w:webHidden/>
          </w:rPr>
          <w:fldChar w:fldCharType="begin"/>
        </w:r>
        <w:r w:rsidR="00AC4198">
          <w:rPr>
            <w:noProof/>
            <w:webHidden/>
          </w:rPr>
          <w:instrText xml:space="preserve"> PAGEREF _Toc436402286 \h </w:instrText>
        </w:r>
        <w:r w:rsidR="00AC4198">
          <w:rPr>
            <w:noProof/>
            <w:webHidden/>
          </w:rPr>
        </w:r>
        <w:r w:rsidR="00AC4198">
          <w:rPr>
            <w:noProof/>
            <w:webHidden/>
          </w:rPr>
          <w:fldChar w:fldCharType="separate"/>
        </w:r>
        <w:r w:rsidR="0082637E">
          <w:rPr>
            <w:noProof/>
            <w:webHidden/>
          </w:rPr>
          <w:t>31</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87" w:history="1">
        <w:r w:rsidR="00AC4198" w:rsidRPr="00593B0B">
          <w:rPr>
            <w:rStyle w:val="Hiperveza"/>
            <w:rFonts w:ascii="Times New Roman" w:hAnsi="Times New Roman" w:cs="Times New Roman"/>
            <w:noProof/>
          </w:rPr>
          <w:t>Tabela 40: Zakupnine i najamnine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_Toc436402287 \h </w:instrText>
        </w:r>
        <w:r w:rsidR="00AC4198">
          <w:rPr>
            <w:noProof/>
            <w:webHidden/>
          </w:rPr>
        </w:r>
        <w:r w:rsidR="00AC4198">
          <w:rPr>
            <w:noProof/>
            <w:webHidden/>
          </w:rPr>
          <w:fldChar w:fldCharType="separate"/>
        </w:r>
        <w:r w:rsidR="0082637E">
          <w:rPr>
            <w:noProof/>
            <w:webHidden/>
          </w:rPr>
          <w:t>31</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88" w:history="1">
        <w:r w:rsidR="00AC4198" w:rsidRPr="00593B0B">
          <w:rPr>
            <w:rStyle w:val="Hiperveza"/>
            <w:rFonts w:ascii="Times New Roman" w:hAnsi="Times New Roman" w:cs="Times New Roman"/>
            <w:noProof/>
          </w:rPr>
          <w:t>Tabela 41: Zakupnine i najamnine prema podacima iskazanim u državnom proračunu – izvršenje za 2014. (u mil. kuna)</w:t>
        </w:r>
        <w:r w:rsidR="00AC4198">
          <w:rPr>
            <w:noProof/>
            <w:webHidden/>
          </w:rPr>
          <w:tab/>
        </w:r>
        <w:r w:rsidR="00AC4198">
          <w:rPr>
            <w:noProof/>
            <w:webHidden/>
          </w:rPr>
          <w:fldChar w:fldCharType="begin"/>
        </w:r>
        <w:r w:rsidR="00AC4198">
          <w:rPr>
            <w:noProof/>
            <w:webHidden/>
          </w:rPr>
          <w:instrText xml:space="preserve"> PAGEREF _Toc436402288 \h </w:instrText>
        </w:r>
        <w:r w:rsidR="00AC4198">
          <w:rPr>
            <w:noProof/>
            <w:webHidden/>
          </w:rPr>
        </w:r>
        <w:r w:rsidR="00AC4198">
          <w:rPr>
            <w:noProof/>
            <w:webHidden/>
          </w:rPr>
          <w:fldChar w:fldCharType="separate"/>
        </w:r>
        <w:r w:rsidR="0082637E">
          <w:rPr>
            <w:noProof/>
            <w:webHidden/>
          </w:rPr>
          <w:t>32</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89" w:history="1">
        <w:r w:rsidR="00AC4198" w:rsidRPr="00593B0B">
          <w:rPr>
            <w:rStyle w:val="Hiperveza"/>
            <w:rFonts w:ascii="Times New Roman" w:hAnsi="Times New Roman" w:cs="Times New Roman"/>
            <w:noProof/>
          </w:rPr>
          <w:t>Tabela 42: Zdravstvene i veterinarske usluge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_Toc436402289 \h </w:instrText>
        </w:r>
        <w:r w:rsidR="00AC4198">
          <w:rPr>
            <w:noProof/>
            <w:webHidden/>
          </w:rPr>
        </w:r>
        <w:r w:rsidR="00AC4198">
          <w:rPr>
            <w:noProof/>
            <w:webHidden/>
          </w:rPr>
          <w:fldChar w:fldCharType="separate"/>
        </w:r>
        <w:r w:rsidR="0082637E">
          <w:rPr>
            <w:noProof/>
            <w:webHidden/>
          </w:rPr>
          <w:t>33</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90" w:history="1">
        <w:r w:rsidR="00AC4198" w:rsidRPr="00593B0B">
          <w:rPr>
            <w:rStyle w:val="Hiperveza"/>
            <w:rFonts w:ascii="Times New Roman" w:hAnsi="Times New Roman" w:cs="Times New Roman"/>
            <w:noProof/>
          </w:rPr>
          <w:t>Tabela 43: Zdravstvene i veterinarske usluge prema podacima iskazanim u državnom proračunu – izvršenje za 2014. (u mil. kuna)</w:t>
        </w:r>
        <w:r w:rsidR="00AC4198">
          <w:rPr>
            <w:noProof/>
            <w:webHidden/>
          </w:rPr>
          <w:tab/>
        </w:r>
        <w:r w:rsidR="00AC4198">
          <w:rPr>
            <w:noProof/>
            <w:webHidden/>
          </w:rPr>
          <w:fldChar w:fldCharType="begin"/>
        </w:r>
        <w:r w:rsidR="00AC4198">
          <w:rPr>
            <w:noProof/>
            <w:webHidden/>
          </w:rPr>
          <w:instrText xml:space="preserve"> PAGEREF _Toc436402290 \h </w:instrText>
        </w:r>
        <w:r w:rsidR="00AC4198">
          <w:rPr>
            <w:noProof/>
            <w:webHidden/>
          </w:rPr>
        </w:r>
        <w:r w:rsidR="00AC4198">
          <w:rPr>
            <w:noProof/>
            <w:webHidden/>
          </w:rPr>
          <w:fldChar w:fldCharType="separate"/>
        </w:r>
        <w:r w:rsidR="0082637E">
          <w:rPr>
            <w:noProof/>
            <w:webHidden/>
          </w:rPr>
          <w:t>33</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91" w:history="1">
        <w:r w:rsidR="00AC4198" w:rsidRPr="00593B0B">
          <w:rPr>
            <w:rStyle w:val="Hiperveza"/>
            <w:rFonts w:ascii="Times New Roman" w:hAnsi="Times New Roman" w:cs="Times New Roman"/>
            <w:noProof/>
          </w:rPr>
          <w:t>Tabela 44: Intelektualne usluge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_Toc436402291 \h </w:instrText>
        </w:r>
        <w:r w:rsidR="00AC4198">
          <w:rPr>
            <w:noProof/>
            <w:webHidden/>
          </w:rPr>
        </w:r>
        <w:r w:rsidR="00AC4198">
          <w:rPr>
            <w:noProof/>
            <w:webHidden/>
          </w:rPr>
          <w:fldChar w:fldCharType="separate"/>
        </w:r>
        <w:r w:rsidR="0082637E">
          <w:rPr>
            <w:noProof/>
            <w:webHidden/>
          </w:rPr>
          <w:t>34</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92" w:history="1">
        <w:r w:rsidR="00AC4198" w:rsidRPr="00593B0B">
          <w:rPr>
            <w:rStyle w:val="Hiperveza"/>
            <w:rFonts w:ascii="Times New Roman" w:hAnsi="Times New Roman" w:cs="Times New Roman"/>
            <w:noProof/>
          </w:rPr>
          <w:t>Tabela 45: Intelektualne usluge prema podacima iskazanim u državnom proračunu – izvršenje za 2014. (u mil.)</w:t>
        </w:r>
        <w:r w:rsidR="00AC4198">
          <w:rPr>
            <w:noProof/>
            <w:webHidden/>
          </w:rPr>
          <w:tab/>
        </w:r>
        <w:r w:rsidR="00AC4198">
          <w:rPr>
            <w:noProof/>
            <w:webHidden/>
          </w:rPr>
          <w:fldChar w:fldCharType="begin"/>
        </w:r>
        <w:r w:rsidR="00AC4198">
          <w:rPr>
            <w:noProof/>
            <w:webHidden/>
          </w:rPr>
          <w:instrText xml:space="preserve"> PAGEREF _Toc436402292 \h </w:instrText>
        </w:r>
        <w:r w:rsidR="00AC4198">
          <w:rPr>
            <w:noProof/>
            <w:webHidden/>
          </w:rPr>
        </w:r>
        <w:r w:rsidR="00AC4198">
          <w:rPr>
            <w:noProof/>
            <w:webHidden/>
          </w:rPr>
          <w:fldChar w:fldCharType="separate"/>
        </w:r>
        <w:r w:rsidR="0082637E">
          <w:rPr>
            <w:noProof/>
            <w:webHidden/>
          </w:rPr>
          <w:t>34</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93" w:history="1">
        <w:r w:rsidR="00AC4198" w:rsidRPr="00593B0B">
          <w:rPr>
            <w:rStyle w:val="Hiperveza"/>
            <w:rFonts w:ascii="Times New Roman" w:hAnsi="Times New Roman" w:cs="Times New Roman"/>
            <w:noProof/>
          </w:rPr>
          <w:t>Tabela 46: Intelektualne usluge po računima Glavne knjige u sustavu državne riznice za 2014. (u mil. kuna)</w:t>
        </w:r>
        <w:r w:rsidR="00AC4198">
          <w:rPr>
            <w:noProof/>
            <w:webHidden/>
          </w:rPr>
          <w:tab/>
        </w:r>
        <w:r w:rsidR="00AC4198">
          <w:rPr>
            <w:noProof/>
            <w:webHidden/>
          </w:rPr>
          <w:fldChar w:fldCharType="begin"/>
        </w:r>
        <w:r w:rsidR="00AC4198">
          <w:rPr>
            <w:noProof/>
            <w:webHidden/>
          </w:rPr>
          <w:instrText xml:space="preserve"> PAGEREF _Toc436402293 \h </w:instrText>
        </w:r>
        <w:r w:rsidR="00AC4198">
          <w:rPr>
            <w:noProof/>
            <w:webHidden/>
          </w:rPr>
        </w:r>
        <w:r w:rsidR="00AC4198">
          <w:rPr>
            <w:noProof/>
            <w:webHidden/>
          </w:rPr>
          <w:fldChar w:fldCharType="separate"/>
        </w:r>
        <w:r w:rsidR="0082637E">
          <w:rPr>
            <w:noProof/>
            <w:webHidden/>
          </w:rPr>
          <w:t>35</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94" w:history="1">
        <w:r w:rsidR="00AC4198" w:rsidRPr="00593B0B">
          <w:rPr>
            <w:rStyle w:val="Hiperveza"/>
            <w:rFonts w:ascii="Times New Roman" w:hAnsi="Times New Roman" w:cs="Times New Roman"/>
            <w:noProof/>
          </w:rPr>
          <w:t>Tabela 47: Računalne usluge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_Toc436402294 \h </w:instrText>
        </w:r>
        <w:r w:rsidR="00AC4198">
          <w:rPr>
            <w:noProof/>
            <w:webHidden/>
          </w:rPr>
        </w:r>
        <w:r w:rsidR="00AC4198">
          <w:rPr>
            <w:noProof/>
            <w:webHidden/>
          </w:rPr>
          <w:fldChar w:fldCharType="separate"/>
        </w:r>
        <w:r w:rsidR="0082637E">
          <w:rPr>
            <w:noProof/>
            <w:webHidden/>
          </w:rPr>
          <w:t>35</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95" w:history="1">
        <w:r w:rsidR="00AC4198" w:rsidRPr="00593B0B">
          <w:rPr>
            <w:rStyle w:val="Hiperveza"/>
            <w:rFonts w:ascii="Times New Roman" w:hAnsi="Times New Roman" w:cs="Times New Roman"/>
            <w:noProof/>
          </w:rPr>
          <w:t>Tabela 48: Računalne usluge  prema podacima iskazanim u državnom proračunu – izvršenje za 2014. (u mil. kuna)</w:t>
        </w:r>
        <w:r w:rsidR="00AC4198">
          <w:rPr>
            <w:noProof/>
            <w:webHidden/>
          </w:rPr>
          <w:tab/>
        </w:r>
        <w:r w:rsidR="00AC4198">
          <w:rPr>
            <w:noProof/>
            <w:webHidden/>
          </w:rPr>
          <w:fldChar w:fldCharType="begin"/>
        </w:r>
        <w:r w:rsidR="00AC4198">
          <w:rPr>
            <w:noProof/>
            <w:webHidden/>
          </w:rPr>
          <w:instrText xml:space="preserve"> PAGEREF _Toc436402295 \h </w:instrText>
        </w:r>
        <w:r w:rsidR="00AC4198">
          <w:rPr>
            <w:noProof/>
            <w:webHidden/>
          </w:rPr>
        </w:r>
        <w:r w:rsidR="00AC4198">
          <w:rPr>
            <w:noProof/>
            <w:webHidden/>
          </w:rPr>
          <w:fldChar w:fldCharType="separate"/>
        </w:r>
        <w:r w:rsidR="0082637E">
          <w:rPr>
            <w:noProof/>
            <w:webHidden/>
          </w:rPr>
          <w:t>36</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96" w:history="1">
        <w:r w:rsidR="00AC4198" w:rsidRPr="00593B0B">
          <w:rPr>
            <w:rStyle w:val="Hiperveza"/>
            <w:rFonts w:ascii="Times New Roman" w:hAnsi="Times New Roman" w:cs="Times New Roman"/>
            <w:noProof/>
          </w:rPr>
          <w:t>Tabela 49: Ostale usluge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_Toc436402296 \h </w:instrText>
        </w:r>
        <w:r w:rsidR="00AC4198">
          <w:rPr>
            <w:noProof/>
            <w:webHidden/>
          </w:rPr>
        </w:r>
        <w:r w:rsidR="00AC4198">
          <w:rPr>
            <w:noProof/>
            <w:webHidden/>
          </w:rPr>
          <w:fldChar w:fldCharType="separate"/>
        </w:r>
        <w:r w:rsidR="0082637E">
          <w:rPr>
            <w:noProof/>
            <w:webHidden/>
          </w:rPr>
          <w:t>36</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97" w:history="1">
        <w:r w:rsidR="00AC4198" w:rsidRPr="00593B0B">
          <w:rPr>
            <w:rStyle w:val="Hiperveza"/>
            <w:rFonts w:ascii="Times New Roman" w:hAnsi="Times New Roman" w:cs="Times New Roman"/>
            <w:noProof/>
          </w:rPr>
          <w:t>Tabela 50: Ostale nespomenute usluge prema podacima iskazanim u državnom proračunu – izvršenje za 2014. (u mil. kuna)</w:t>
        </w:r>
        <w:r w:rsidR="00AC4198">
          <w:rPr>
            <w:noProof/>
            <w:webHidden/>
          </w:rPr>
          <w:tab/>
        </w:r>
        <w:r w:rsidR="00AC4198">
          <w:rPr>
            <w:noProof/>
            <w:webHidden/>
          </w:rPr>
          <w:fldChar w:fldCharType="begin"/>
        </w:r>
        <w:r w:rsidR="00AC4198">
          <w:rPr>
            <w:noProof/>
            <w:webHidden/>
          </w:rPr>
          <w:instrText xml:space="preserve"> PAGEREF _Toc436402297 \h </w:instrText>
        </w:r>
        <w:r w:rsidR="00AC4198">
          <w:rPr>
            <w:noProof/>
            <w:webHidden/>
          </w:rPr>
        </w:r>
        <w:r w:rsidR="00AC4198">
          <w:rPr>
            <w:noProof/>
            <w:webHidden/>
          </w:rPr>
          <w:fldChar w:fldCharType="separate"/>
        </w:r>
        <w:r w:rsidR="0082637E">
          <w:rPr>
            <w:noProof/>
            <w:webHidden/>
          </w:rPr>
          <w:t>37</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98" w:history="1">
        <w:r w:rsidR="00AC4198" w:rsidRPr="00593B0B">
          <w:rPr>
            <w:rStyle w:val="Hiperveza"/>
            <w:rFonts w:ascii="Times New Roman" w:hAnsi="Times New Roman" w:cs="Times New Roman"/>
            <w:noProof/>
          </w:rPr>
          <w:t>Tabela 51: Naknade troškova osobama izvan radnog odnosa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_Toc436402298 \h </w:instrText>
        </w:r>
        <w:r w:rsidR="00AC4198">
          <w:rPr>
            <w:noProof/>
            <w:webHidden/>
          </w:rPr>
        </w:r>
        <w:r w:rsidR="00AC4198">
          <w:rPr>
            <w:noProof/>
            <w:webHidden/>
          </w:rPr>
          <w:fldChar w:fldCharType="separate"/>
        </w:r>
        <w:r w:rsidR="0082637E">
          <w:rPr>
            <w:noProof/>
            <w:webHidden/>
          </w:rPr>
          <w:t>38</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299" w:history="1">
        <w:r w:rsidR="00AC4198" w:rsidRPr="00593B0B">
          <w:rPr>
            <w:rStyle w:val="Hiperveza"/>
            <w:rFonts w:ascii="Times New Roman" w:hAnsi="Times New Roman" w:cs="Times New Roman"/>
            <w:noProof/>
          </w:rPr>
          <w:t>Tabela 52: Naknade troškova osobama izvan radnog odnosa prema podacima iskazanim u državnom proračunu – izvršenje za 2014. (u mil.)</w:t>
        </w:r>
        <w:r w:rsidR="00AC4198">
          <w:rPr>
            <w:noProof/>
            <w:webHidden/>
          </w:rPr>
          <w:tab/>
        </w:r>
        <w:r w:rsidR="00AC4198">
          <w:rPr>
            <w:noProof/>
            <w:webHidden/>
          </w:rPr>
          <w:fldChar w:fldCharType="begin"/>
        </w:r>
        <w:r w:rsidR="00AC4198">
          <w:rPr>
            <w:noProof/>
            <w:webHidden/>
          </w:rPr>
          <w:instrText xml:space="preserve"> PAGEREF _Toc436402299 \h </w:instrText>
        </w:r>
        <w:r w:rsidR="00AC4198">
          <w:rPr>
            <w:noProof/>
            <w:webHidden/>
          </w:rPr>
        </w:r>
        <w:r w:rsidR="00AC4198">
          <w:rPr>
            <w:noProof/>
            <w:webHidden/>
          </w:rPr>
          <w:fldChar w:fldCharType="separate"/>
        </w:r>
        <w:r w:rsidR="0082637E">
          <w:rPr>
            <w:noProof/>
            <w:webHidden/>
          </w:rPr>
          <w:t>38</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300" w:history="1">
        <w:r w:rsidR="00AC4198" w:rsidRPr="00593B0B">
          <w:rPr>
            <w:rStyle w:val="Hiperveza"/>
            <w:rFonts w:ascii="Times New Roman" w:hAnsi="Times New Roman" w:cs="Times New Roman"/>
            <w:noProof/>
          </w:rPr>
          <w:t>Tabela 53: Ostali nespomenuti rashodi poslovanja prema podacima iskazanim u financijskim izvještajima proračunskih i izvanproračunskih korisnika za 2013. i 2014. godinu</w:t>
        </w:r>
        <w:r w:rsidR="00AC4198">
          <w:rPr>
            <w:noProof/>
            <w:webHidden/>
          </w:rPr>
          <w:tab/>
        </w:r>
        <w:r w:rsidR="00AC4198">
          <w:rPr>
            <w:noProof/>
            <w:webHidden/>
          </w:rPr>
          <w:fldChar w:fldCharType="begin"/>
        </w:r>
        <w:r w:rsidR="00AC4198">
          <w:rPr>
            <w:noProof/>
            <w:webHidden/>
          </w:rPr>
          <w:instrText xml:space="preserve"> PAGEREF _Toc436402300 \h </w:instrText>
        </w:r>
        <w:r w:rsidR="00AC4198">
          <w:rPr>
            <w:noProof/>
            <w:webHidden/>
          </w:rPr>
        </w:r>
        <w:r w:rsidR="00AC4198">
          <w:rPr>
            <w:noProof/>
            <w:webHidden/>
          </w:rPr>
          <w:fldChar w:fldCharType="separate"/>
        </w:r>
        <w:r w:rsidR="0082637E">
          <w:rPr>
            <w:noProof/>
            <w:webHidden/>
          </w:rPr>
          <w:t>38</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301" w:history="1">
        <w:r w:rsidR="00AC4198" w:rsidRPr="00593B0B">
          <w:rPr>
            <w:rStyle w:val="Hiperveza"/>
            <w:rFonts w:ascii="Times New Roman" w:hAnsi="Times New Roman" w:cs="Times New Roman"/>
            <w:noProof/>
          </w:rPr>
          <w:t>Tabela 54: Ostali nespomenuti rashodi poslovanja prema podacima iskazanim u državnom proračunu – izvršenje za 2013., 2014. i plan za 2015. (u mil. kuna)</w:t>
        </w:r>
        <w:r w:rsidR="00AC4198">
          <w:rPr>
            <w:noProof/>
            <w:webHidden/>
          </w:rPr>
          <w:tab/>
        </w:r>
        <w:r w:rsidR="00AC4198">
          <w:rPr>
            <w:noProof/>
            <w:webHidden/>
          </w:rPr>
          <w:fldChar w:fldCharType="begin"/>
        </w:r>
        <w:r w:rsidR="00AC4198">
          <w:rPr>
            <w:noProof/>
            <w:webHidden/>
          </w:rPr>
          <w:instrText xml:space="preserve"> PAGEREF _Toc436402301 \h </w:instrText>
        </w:r>
        <w:r w:rsidR="00AC4198">
          <w:rPr>
            <w:noProof/>
            <w:webHidden/>
          </w:rPr>
        </w:r>
        <w:r w:rsidR="00AC4198">
          <w:rPr>
            <w:noProof/>
            <w:webHidden/>
          </w:rPr>
          <w:fldChar w:fldCharType="separate"/>
        </w:r>
        <w:r w:rsidR="0082637E">
          <w:rPr>
            <w:noProof/>
            <w:webHidden/>
          </w:rPr>
          <w:t>39</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302" w:history="1">
        <w:r w:rsidR="00AC4198" w:rsidRPr="00593B0B">
          <w:rPr>
            <w:rStyle w:val="Hiperveza"/>
            <w:rFonts w:ascii="Times New Roman" w:hAnsi="Times New Roman" w:cs="Times New Roman"/>
            <w:noProof/>
          </w:rPr>
          <w:t>Tabela 55: Naknade za rad predstavničkih i izvršnih tijela, povjerenstava i slično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_Toc436402302 \h </w:instrText>
        </w:r>
        <w:r w:rsidR="00AC4198">
          <w:rPr>
            <w:noProof/>
            <w:webHidden/>
          </w:rPr>
        </w:r>
        <w:r w:rsidR="00AC4198">
          <w:rPr>
            <w:noProof/>
            <w:webHidden/>
          </w:rPr>
          <w:fldChar w:fldCharType="separate"/>
        </w:r>
        <w:r w:rsidR="0082637E">
          <w:rPr>
            <w:noProof/>
            <w:webHidden/>
          </w:rPr>
          <w:t>39</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303" w:history="1">
        <w:r w:rsidR="00AC4198" w:rsidRPr="00593B0B">
          <w:rPr>
            <w:rStyle w:val="Hiperveza"/>
            <w:rFonts w:ascii="Times New Roman" w:hAnsi="Times New Roman" w:cs="Times New Roman"/>
            <w:noProof/>
          </w:rPr>
          <w:t>Tabela 56: Naknade za rad predstavničkih i izvršnih tijela, povjerenstava i slično prema podacima iskazanim u državnom proračunu – izvršenje za 2014. (u mil. kuna)</w:t>
        </w:r>
        <w:r w:rsidR="00AC4198">
          <w:rPr>
            <w:noProof/>
            <w:webHidden/>
          </w:rPr>
          <w:tab/>
        </w:r>
        <w:r w:rsidR="00AC4198">
          <w:rPr>
            <w:noProof/>
            <w:webHidden/>
          </w:rPr>
          <w:fldChar w:fldCharType="begin"/>
        </w:r>
        <w:r w:rsidR="00AC4198">
          <w:rPr>
            <w:noProof/>
            <w:webHidden/>
          </w:rPr>
          <w:instrText xml:space="preserve"> PAGEREF _Toc436402303 \h </w:instrText>
        </w:r>
        <w:r w:rsidR="00AC4198">
          <w:rPr>
            <w:noProof/>
            <w:webHidden/>
          </w:rPr>
        </w:r>
        <w:r w:rsidR="00AC4198">
          <w:rPr>
            <w:noProof/>
            <w:webHidden/>
          </w:rPr>
          <w:fldChar w:fldCharType="separate"/>
        </w:r>
        <w:r w:rsidR="0082637E">
          <w:rPr>
            <w:noProof/>
            <w:webHidden/>
          </w:rPr>
          <w:t>40</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304" w:history="1">
        <w:r w:rsidR="00AC4198" w:rsidRPr="00593B0B">
          <w:rPr>
            <w:rStyle w:val="Hiperveza"/>
            <w:rFonts w:ascii="Times New Roman" w:hAnsi="Times New Roman" w:cs="Times New Roman"/>
            <w:noProof/>
          </w:rPr>
          <w:t>Tabela 57: Premije osiguranja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_Toc436402304 \h </w:instrText>
        </w:r>
        <w:r w:rsidR="00AC4198">
          <w:rPr>
            <w:noProof/>
            <w:webHidden/>
          </w:rPr>
        </w:r>
        <w:r w:rsidR="00AC4198">
          <w:rPr>
            <w:noProof/>
            <w:webHidden/>
          </w:rPr>
          <w:fldChar w:fldCharType="separate"/>
        </w:r>
        <w:r w:rsidR="0082637E">
          <w:rPr>
            <w:noProof/>
            <w:webHidden/>
          </w:rPr>
          <w:t>40</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305" w:history="1">
        <w:r w:rsidR="00AC4198" w:rsidRPr="00593B0B">
          <w:rPr>
            <w:rStyle w:val="Hiperveza"/>
            <w:rFonts w:ascii="Times New Roman" w:hAnsi="Times New Roman" w:cs="Times New Roman"/>
            <w:noProof/>
          </w:rPr>
          <w:t>Tabela 58: Premije osiguranja prema podacima iskazanim u državnom proračunu – izvršenje za 2014. (u mil. kuna)</w:t>
        </w:r>
        <w:r w:rsidR="00AC4198">
          <w:rPr>
            <w:noProof/>
            <w:webHidden/>
          </w:rPr>
          <w:tab/>
        </w:r>
        <w:r w:rsidR="00AC4198">
          <w:rPr>
            <w:noProof/>
            <w:webHidden/>
          </w:rPr>
          <w:fldChar w:fldCharType="begin"/>
        </w:r>
        <w:r w:rsidR="00AC4198">
          <w:rPr>
            <w:noProof/>
            <w:webHidden/>
          </w:rPr>
          <w:instrText xml:space="preserve"> PAGEREF _Toc436402305 \h </w:instrText>
        </w:r>
        <w:r w:rsidR="00AC4198">
          <w:rPr>
            <w:noProof/>
            <w:webHidden/>
          </w:rPr>
        </w:r>
        <w:r w:rsidR="00AC4198">
          <w:rPr>
            <w:noProof/>
            <w:webHidden/>
          </w:rPr>
          <w:fldChar w:fldCharType="separate"/>
        </w:r>
        <w:r w:rsidR="0082637E">
          <w:rPr>
            <w:noProof/>
            <w:webHidden/>
          </w:rPr>
          <w:t>41</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306" w:history="1">
        <w:r w:rsidR="00AC4198" w:rsidRPr="00593B0B">
          <w:rPr>
            <w:rStyle w:val="Hiperveza"/>
            <w:rFonts w:ascii="Times New Roman" w:hAnsi="Times New Roman" w:cs="Times New Roman"/>
            <w:noProof/>
          </w:rPr>
          <w:t>Tabela 59: Reprezentacija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_Toc436402306 \h </w:instrText>
        </w:r>
        <w:r w:rsidR="00AC4198">
          <w:rPr>
            <w:noProof/>
            <w:webHidden/>
          </w:rPr>
        </w:r>
        <w:r w:rsidR="00AC4198">
          <w:rPr>
            <w:noProof/>
            <w:webHidden/>
          </w:rPr>
          <w:fldChar w:fldCharType="separate"/>
        </w:r>
        <w:r w:rsidR="0082637E">
          <w:rPr>
            <w:noProof/>
            <w:webHidden/>
          </w:rPr>
          <w:t>42</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307" w:history="1">
        <w:r w:rsidR="00AC4198" w:rsidRPr="00593B0B">
          <w:rPr>
            <w:rStyle w:val="Hiperveza"/>
            <w:noProof/>
          </w:rPr>
          <w:t>Tabela 60: Članarine i norme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_Toc436402307 \h </w:instrText>
        </w:r>
        <w:r w:rsidR="00AC4198">
          <w:rPr>
            <w:noProof/>
            <w:webHidden/>
          </w:rPr>
        </w:r>
        <w:r w:rsidR="00AC4198">
          <w:rPr>
            <w:noProof/>
            <w:webHidden/>
          </w:rPr>
          <w:fldChar w:fldCharType="separate"/>
        </w:r>
        <w:r w:rsidR="0082637E">
          <w:rPr>
            <w:noProof/>
            <w:webHidden/>
          </w:rPr>
          <w:t>42</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308" w:history="1">
        <w:r w:rsidR="00AC4198" w:rsidRPr="00593B0B">
          <w:rPr>
            <w:rStyle w:val="Hiperveza"/>
            <w:rFonts w:ascii="Times New Roman" w:hAnsi="Times New Roman" w:cs="Times New Roman"/>
            <w:noProof/>
          </w:rPr>
          <w:t>Tabela 61: Članarine i norme prema podacima iskazanim u državnom proračunu – izvršenje za 2014. (u mil. kuna)</w:t>
        </w:r>
        <w:r w:rsidR="00AC4198">
          <w:rPr>
            <w:noProof/>
            <w:webHidden/>
          </w:rPr>
          <w:tab/>
        </w:r>
        <w:r w:rsidR="00AC4198">
          <w:rPr>
            <w:noProof/>
            <w:webHidden/>
          </w:rPr>
          <w:fldChar w:fldCharType="begin"/>
        </w:r>
        <w:r w:rsidR="00AC4198">
          <w:rPr>
            <w:noProof/>
            <w:webHidden/>
          </w:rPr>
          <w:instrText xml:space="preserve"> PAGEREF _Toc436402308 \h </w:instrText>
        </w:r>
        <w:r w:rsidR="00AC4198">
          <w:rPr>
            <w:noProof/>
            <w:webHidden/>
          </w:rPr>
        </w:r>
        <w:r w:rsidR="00AC4198">
          <w:rPr>
            <w:noProof/>
            <w:webHidden/>
          </w:rPr>
          <w:fldChar w:fldCharType="separate"/>
        </w:r>
        <w:r w:rsidR="0082637E">
          <w:rPr>
            <w:noProof/>
            <w:webHidden/>
          </w:rPr>
          <w:t>43</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309" w:history="1">
        <w:r w:rsidR="00AC4198" w:rsidRPr="00593B0B">
          <w:rPr>
            <w:rStyle w:val="Hiperveza"/>
            <w:rFonts w:ascii="Times New Roman" w:hAnsi="Times New Roman" w:cs="Times New Roman"/>
            <w:noProof/>
          </w:rPr>
          <w:t>Tabela 62: Pristojbe i naknade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_Toc436402309 \h </w:instrText>
        </w:r>
        <w:r w:rsidR="00AC4198">
          <w:rPr>
            <w:noProof/>
            <w:webHidden/>
          </w:rPr>
        </w:r>
        <w:r w:rsidR="00AC4198">
          <w:rPr>
            <w:noProof/>
            <w:webHidden/>
          </w:rPr>
          <w:fldChar w:fldCharType="separate"/>
        </w:r>
        <w:r w:rsidR="0082637E">
          <w:rPr>
            <w:noProof/>
            <w:webHidden/>
          </w:rPr>
          <w:t>43</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310" w:history="1">
        <w:r w:rsidR="00AC4198" w:rsidRPr="00593B0B">
          <w:rPr>
            <w:rStyle w:val="Hiperveza"/>
            <w:rFonts w:ascii="Times New Roman" w:hAnsi="Times New Roman" w:cs="Times New Roman"/>
            <w:noProof/>
          </w:rPr>
          <w:t>Tabela 63: Pristojbe i naknade prema podacima iskazanim u državnom proračunu – izvršenje za 2014. (u mil. kuna)</w:t>
        </w:r>
        <w:r w:rsidR="00AC4198">
          <w:rPr>
            <w:noProof/>
            <w:webHidden/>
          </w:rPr>
          <w:tab/>
        </w:r>
        <w:r w:rsidR="00AC4198">
          <w:rPr>
            <w:noProof/>
            <w:webHidden/>
          </w:rPr>
          <w:fldChar w:fldCharType="begin"/>
        </w:r>
        <w:r w:rsidR="00AC4198">
          <w:rPr>
            <w:noProof/>
            <w:webHidden/>
          </w:rPr>
          <w:instrText xml:space="preserve"> PAGEREF _Toc436402310 \h </w:instrText>
        </w:r>
        <w:r w:rsidR="00AC4198">
          <w:rPr>
            <w:noProof/>
            <w:webHidden/>
          </w:rPr>
        </w:r>
        <w:r w:rsidR="00AC4198">
          <w:rPr>
            <w:noProof/>
            <w:webHidden/>
          </w:rPr>
          <w:fldChar w:fldCharType="separate"/>
        </w:r>
        <w:r w:rsidR="0082637E">
          <w:rPr>
            <w:noProof/>
            <w:webHidden/>
          </w:rPr>
          <w:t>43</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311" w:history="1">
        <w:r w:rsidR="00AC4198" w:rsidRPr="00593B0B">
          <w:rPr>
            <w:rStyle w:val="Hiperveza"/>
            <w:rFonts w:ascii="Times New Roman" w:hAnsi="Times New Roman" w:cs="Times New Roman"/>
            <w:noProof/>
          </w:rPr>
          <w:t>Tabela 64: Ostali nespomenuti rashodi poslovanja prema podacima iskazanim u financijskim izvještajima proračunskih i izvanproračunskih korisnika za 2013. i 2014. godinu te planu Državnog proračuna za 2015. godinu</w:t>
        </w:r>
        <w:r w:rsidR="00AC4198">
          <w:rPr>
            <w:noProof/>
            <w:webHidden/>
          </w:rPr>
          <w:tab/>
        </w:r>
        <w:r w:rsidR="00AC4198">
          <w:rPr>
            <w:noProof/>
            <w:webHidden/>
          </w:rPr>
          <w:fldChar w:fldCharType="begin"/>
        </w:r>
        <w:r w:rsidR="00AC4198">
          <w:rPr>
            <w:noProof/>
            <w:webHidden/>
          </w:rPr>
          <w:instrText xml:space="preserve"> PAGEREF _Toc436402311 \h </w:instrText>
        </w:r>
        <w:r w:rsidR="00AC4198">
          <w:rPr>
            <w:noProof/>
            <w:webHidden/>
          </w:rPr>
        </w:r>
        <w:r w:rsidR="00AC4198">
          <w:rPr>
            <w:noProof/>
            <w:webHidden/>
          </w:rPr>
          <w:fldChar w:fldCharType="separate"/>
        </w:r>
        <w:r w:rsidR="0082637E">
          <w:rPr>
            <w:noProof/>
            <w:webHidden/>
          </w:rPr>
          <w:t>44</w:t>
        </w:r>
        <w:r w:rsidR="00AC4198">
          <w:rPr>
            <w:noProof/>
            <w:webHidden/>
          </w:rPr>
          <w:fldChar w:fldCharType="end"/>
        </w:r>
      </w:hyperlink>
    </w:p>
    <w:p w:rsidR="00AC4198" w:rsidRDefault="008C6D07">
      <w:pPr>
        <w:pStyle w:val="Tablicaslika"/>
        <w:tabs>
          <w:tab w:val="right" w:leader="dot" w:pos="9062"/>
        </w:tabs>
        <w:rPr>
          <w:rFonts w:eastAsiaTheme="minorEastAsia"/>
          <w:noProof/>
          <w:lang w:eastAsia="hr-HR"/>
        </w:rPr>
      </w:pPr>
      <w:hyperlink w:anchor="_Toc436402312" w:history="1">
        <w:r w:rsidR="00AC4198" w:rsidRPr="00593B0B">
          <w:rPr>
            <w:rStyle w:val="Hiperveza"/>
            <w:rFonts w:ascii="Times New Roman" w:hAnsi="Times New Roman" w:cs="Times New Roman"/>
            <w:noProof/>
          </w:rPr>
          <w:t>Tabela 65: Ostali nespomenuti rashodi poslovanja prema podacima iskazanim u državnom proračunu – izvršenje za 2014. (u mil. kuna)</w:t>
        </w:r>
        <w:r w:rsidR="00AC4198">
          <w:rPr>
            <w:noProof/>
            <w:webHidden/>
          </w:rPr>
          <w:tab/>
        </w:r>
        <w:r w:rsidR="00AC4198">
          <w:rPr>
            <w:noProof/>
            <w:webHidden/>
          </w:rPr>
          <w:fldChar w:fldCharType="begin"/>
        </w:r>
        <w:r w:rsidR="00AC4198">
          <w:rPr>
            <w:noProof/>
            <w:webHidden/>
          </w:rPr>
          <w:instrText xml:space="preserve"> PAGEREF _Toc436402312 \h </w:instrText>
        </w:r>
        <w:r w:rsidR="00AC4198">
          <w:rPr>
            <w:noProof/>
            <w:webHidden/>
          </w:rPr>
        </w:r>
        <w:r w:rsidR="00AC4198">
          <w:rPr>
            <w:noProof/>
            <w:webHidden/>
          </w:rPr>
          <w:fldChar w:fldCharType="separate"/>
        </w:r>
        <w:r w:rsidR="0082637E">
          <w:rPr>
            <w:noProof/>
            <w:webHidden/>
          </w:rPr>
          <w:t>45</w:t>
        </w:r>
        <w:r w:rsidR="00AC4198">
          <w:rPr>
            <w:noProof/>
            <w:webHidden/>
          </w:rPr>
          <w:fldChar w:fldCharType="end"/>
        </w:r>
      </w:hyperlink>
    </w:p>
    <w:p w:rsidR="001B1A8D" w:rsidRPr="00901181" w:rsidRDefault="002D0343" w:rsidP="00C83540">
      <w:pPr>
        <w:spacing w:line="240" w:lineRule="auto"/>
        <w:rPr>
          <w:rFonts w:ascii="Times New Roman" w:hAnsi="Times New Roman" w:cs="Times New Roman"/>
        </w:rPr>
      </w:pPr>
      <w:r w:rsidRPr="00901181">
        <w:rPr>
          <w:rFonts w:ascii="Times New Roman" w:hAnsi="Times New Roman" w:cs="Times New Roman"/>
        </w:rPr>
        <w:fldChar w:fldCharType="end"/>
      </w:r>
    </w:p>
    <w:p w:rsidR="001B1A8D" w:rsidRPr="00901181" w:rsidRDefault="001B1A8D" w:rsidP="00C83540">
      <w:pPr>
        <w:spacing w:line="240" w:lineRule="auto"/>
        <w:rPr>
          <w:rFonts w:ascii="Times New Roman" w:hAnsi="Times New Roman" w:cs="Times New Roman"/>
        </w:rPr>
      </w:pPr>
    </w:p>
    <w:p w:rsidR="001B1A8D" w:rsidRPr="00901181" w:rsidRDefault="001B1A8D" w:rsidP="00C83540">
      <w:pPr>
        <w:spacing w:line="240" w:lineRule="auto"/>
        <w:rPr>
          <w:rFonts w:ascii="Times New Roman" w:hAnsi="Times New Roman" w:cs="Times New Roman"/>
        </w:rPr>
      </w:pPr>
    </w:p>
    <w:p w:rsidR="001B1A8D" w:rsidRPr="00901181" w:rsidRDefault="001B1A8D" w:rsidP="00C83540">
      <w:pPr>
        <w:spacing w:line="240" w:lineRule="auto"/>
        <w:rPr>
          <w:rFonts w:ascii="Times New Roman" w:hAnsi="Times New Roman" w:cs="Times New Roman"/>
        </w:rPr>
      </w:pPr>
    </w:p>
    <w:p w:rsidR="001B1A8D" w:rsidRPr="00901181" w:rsidRDefault="001B1A8D" w:rsidP="00C83540">
      <w:pPr>
        <w:spacing w:line="240" w:lineRule="auto"/>
        <w:rPr>
          <w:rFonts w:ascii="Times New Roman" w:hAnsi="Times New Roman" w:cs="Times New Roman"/>
        </w:rPr>
      </w:pPr>
    </w:p>
    <w:p w:rsidR="001B1A8D" w:rsidRPr="00901181" w:rsidRDefault="001B1A8D" w:rsidP="00C83540">
      <w:pPr>
        <w:spacing w:line="240" w:lineRule="auto"/>
        <w:rPr>
          <w:rFonts w:ascii="Times New Roman" w:hAnsi="Times New Roman" w:cs="Times New Roman"/>
        </w:rPr>
      </w:pPr>
    </w:p>
    <w:p w:rsidR="001B1A8D" w:rsidRPr="00901181" w:rsidRDefault="001B1A8D" w:rsidP="00C83540">
      <w:pPr>
        <w:spacing w:line="240" w:lineRule="auto"/>
        <w:rPr>
          <w:rFonts w:ascii="Times New Roman" w:hAnsi="Times New Roman" w:cs="Times New Roman"/>
        </w:rPr>
      </w:pPr>
    </w:p>
    <w:sectPr w:rsidR="001B1A8D" w:rsidRPr="00901181" w:rsidSect="000C7CE0">
      <w:footerReference w:type="default" r:id="rId43"/>
      <w:pgSz w:w="11906" w:h="16838"/>
      <w:pgMar w:top="1417" w:right="1417" w:bottom="1417"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008B4E" w15:done="0"/>
  <w15:commentEx w15:paraId="50ECFADD" w15:done="0"/>
  <w15:commentEx w15:paraId="2E60CDB9" w15:done="0"/>
  <w15:commentEx w15:paraId="52C0F917" w15:done="0"/>
  <w15:commentEx w15:paraId="5020BAC0" w15:done="0"/>
  <w15:commentEx w15:paraId="12A937F6" w15:done="0"/>
  <w15:commentEx w15:paraId="00D4948A" w15:done="0"/>
  <w15:commentEx w15:paraId="76532023" w15:done="0"/>
  <w15:commentEx w15:paraId="6E04CCC8" w15:done="0"/>
  <w15:commentEx w15:paraId="493119F4" w15:done="0"/>
  <w15:commentEx w15:paraId="7BBD84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07" w:rsidRDefault="008C6D07" w:rsidP="00315F7B">
      <w:pPr>
        <w:spacing w:after="0" w:line="240" w:lineRule="auto"/>
      </w:pPr>
      <w:r>
        <w:separator/>
      </w:r>
    </w:p>
  </w:endnote>
  <w:endnote w:type="continuationSeparator" w:id="0">
    <w:p w:rsidR="008C6D07" w:rsidRDefault="008C6D07" w:rsidP="0031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593921"/>
      <w:docPartObj>
        <w:docPartGallery w:val="Page Numbers (Bottom of Page)"/>
        <w:docPartUnique/>
      </w:docPartObj>
    </w:sdtPr>
    <w:sdtEndPr/>
    <w:sdtContent>
      <w:p w:rsidR="00022BA3" w:rsidRDefault="00022BA3">
        <w:pPr>
          <w:pStyle w:val="Podnoje"/>
          <w:jc w:val="right"/>
        </w:pPr>
        <w:r>
          <w:fldChar w:fldCharType="begin"/>
        </w:r>
        <w:r>
          <w:instrText>PAGE   \* MERGEFORMAT</w:instrText>
        </w:r>
        <w:r>
          <w:fldChar w:fldCharType="separate"/>
        </w:r>
        <w:r w:rsidR="0091617B">
          <w:rPr>
            <w:noProof/>
          </w:rPr>
          <w:t>15</w:t>
        </w:r>
        <w:r>
          <w:rPr>
            <w:noProof/>
          </w:rPr>
          <w:fldChar w:fldCharType="end"/>
        </w:r>
      </w:p>
    </w:sdtContent>
  </w:sdt>
  <w:p w:rsidR="00022BA3" w:rsidRDefault="00022BA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07" w:rsidRDefault="008C6D07" w:rsidP="00315F7B">
      <w:pPr>
        <w:spacing w:after="0" w:line="240" w:lineRule="auto"/>
      </w:pPr>
      <w:r>
        <w:separator/>
      </w:r>
    </w:p>
  </w:footnote>
  <w:footnote w:type="continuationSeparator" w:id="0">
    <w:p w:rsidR="008C6D07" w:rsidRDefault="008C6D07" w:rsidP="00315F7B">
      <w:pPr>
        <w:spacing w:after="0" w:line="240" w:lineRule="auto"/>
      </w:pPr>
      <w:r>
        <w:continuationSeparator/>
      </w:r>
    </w:p>
  </w:footnote>
  <w:footnote w:id="1">
    <w:p w:rsidR="00022BA3" w:rsidRPr="00374363" w:rsidRDefault="00022BA3" w:rsidP="00074A4A">
      <w:pPr>
        <w:pStyle w:val="Tekstfusnote"/>
        <w:jc w:val="both"/>
        <w:rPr>
          <w:rFonts w:ascii="Times New Roman" w:hAnsi="Times New Roman" w:cs="Times New Roman"/>
        </w:rPr>
      </w:pPr>
      <w:r>
        <w:rPr>
          <w:rStyle w:val="Referencafusnote"/>
        </w:rPr>
        <w:footnoteRef/>
      </w:r>
      <w:r>
        <w:t xml:space="preserve"> </w:t>
      </w:r>
      <w:r w:rsidRPr="00374363">
        <w:rPr>
          <w:rFonts w:ascii="Times New Roman" w:hAnsi="Times New Roman" w:cs="Times New Roman"/>
        </w:rPr>
        <w:t>Ukupni plan rashoda po razdjelima državnog proračuna za izvore financiranja: opći prihodi i primici, doprinosi i namjenski primici od zaduživanja izravno utječe na planirani deficit pa za ove izvore proračunski korisnici dobivaju limit od Ministarstva financija koji onda dalje raspoređuju po programima, aktivnostima, projektima i stavkama.</w:t>
      </w:r>
    </w:p>
  </w:footnote>
  <w:footnote w:id="2">
    <w:p w:rsidR="00022BA3" w:rsidRPr="006B7B79" w:rsidRDefault="00022BA3" w:rsidP="006B7B79">
      <w:pPr>
        <w:pStyle w:val="Tekstfusnote"/>
        <w:jc w:val="both"/>
        <w:rPr>
          <w:rFonts w:ascii="Times New Roman" w:hAnsi="Times New Roman" w:cs="Times New Roman"/>
        </w:rPr>
      </w:pPr>
      <w:r>
        <w:rPr>
          <w:rStyle w:val="Referencafusnote"/>
        </w:rPr>
        <w:footnoteRef/>
      </w:r>
      <w:r>
        <w:t xml:space="preserve"> </w:t>
      </w:r>
      <w:r w:rsidRPr="006B7B79">
        <w:rPr>
          <w:rFonts w:ascii="Times New Roman" w:hAnsi="Times New Roman" w:cs="Times New Roman"/>
        </w:rPr>
        <w:t>Prema Registru proračunskih i izvanproračunskih korisnika iz lipnja 2015. (Narodne novine,</w:t>
      </w:r>
      <w:r>
        <w:rPr>
          <w:rFonts w:ascii="Times New Roman" w:hAnsi="Times New Roman" w:cs="Times New Roman"/>
        </w:rPr>
        <w:t xml:space="preserve"> br.</w:t>
      </w:r>
      <w:r w:rsidRPr="006B7B79">
        <w:rPr>
          <w:rFonts w:ascii="Times New Roman" w:hAnsi="Times New Roman" w:cs="Times New Roman"/>
        </w:rPr>
        <w:t xml:space="preserve"> 68/15) broj proračunskih korisnika smanjen je na 676. </w:t>
      </w:r>
    </w:p>
  </w:footnote>
  <w:footnote w:id="3">
    <w:p w:rsidR="00022BA3" w:rsidRPr="00975756" w:rsidRDefault="00022BA3" w:rsidP="00975756">
      <w:pPr>
        <w:pStyle w:val="Tekstfusnote"/>
        <w:jc w:val="both"/>
        <w:rPr>
          <w:rFonts w:ascii="Times New Roman" w:hAnsi="Times New Roman" w:cs="Times New Roman"/>
        </w:rPr>
      </w:pPr>
      <w:r>
        <w:rPr>
          <w:rStyle w:val="Referencafusnote"/>
        </w:rPr>
        <w:footnoteRef/>
      </w:r>
      <w:r>
        <w:t xml:space="preserve"> </w:t>
      </w:r>
      <w:r w:rsidRPr="00975756">
        <w:rPr>
          <w:rFonts w:ascii="Times New Roman" w:hAnsi="Times New Roman" w:cs="Times New Roman"/>
        </w:rPr>
        <w:t>U financijskim izvještajima u najvećem dijelu rashodi su iskazani na četvrtoj razini Računskog plana (primjerice energija) dok je rashode koji su evidentirani u sustavu državne riznice</w:t>
      </w:r>
      <w:r>
        <w:rPr>
          <w:rFonts w:ascii="Times New Roman" w:hAnsi="Times New Roman" w:cs="Times New Roman"/>
        </w:rPr>
        <w:t xml:space="preserve"> (državnom proračunu)</w:t>
      </w:r>
      <w:r w:rsidRPr="00975756">
        <w:rPr>
          <w:rFonts w:ascii="Times New Roman" w:hAnsi="Times New Roman" w:cs="Times New Roman"/>
        </w:rPr>
        <w:t xml:space="preserve"> moguće iskazati po osnovnim računima (primjerice električna energija, topla voda, plin, motorni benzin i gorivo, ostali mat</w:t>
      </w:r>
      <w:r>
        <w:rPr>
          <w:rFonts w:ascii="Times New Roman" w:hAnsi="Times New Roman" w:cs="Times New Roman"/>
        </w:rPr>
        <w:t xml:space="preserve">erijalni </w:t>
      </w:r>
      <w:r w:rsidRPr="00975756">
        <w:rPr>
          <w:rFonts w:ascii="Times New Roman" w:hAnsi="Times New Roman" w:cs="Times New Roman"/>
        </w:rPr>
        <w:t>rashodi za proizvodnju energije).</w:t>
      </w:r>
    </w:p>
  </w:footnote>
  <w:footnote w:id="4">
    <w:p w:rsidR="00022BA3" w:rsidRPr="006E127A" w:rsidRDefault="00022BA3" w:rsidP="00472068">
      <w:pPr>
        <w:pStyle w:val="Tekstfusnote"/>
        <w:jc w:val="both"/>
        <w:rPr>
          <w:rFonts w:ascii="Times New Roman" w:hAnsi="Times New Roman" w:cs="Times New Roman"/>
        </w:rPr>
      </w:pPr>
      <w:r>
        <w:rPr>
          <w:rStyle w:val="Referencafusnote"/>
        </w:rPr>
        <w:footnoteRef/>
      </w:r>
      <w:r>
        <w:t xml:space="preserve"> </w:t>
      </w:r>
      <w:r w:rsidRPr="006E127A">
        <w:rPr>
          <w:rFonts w:ascii="Times New Roman" w:hAnsi="Times New Roman" w:cs="Times New Roman"/>
        </w:rPr>
        <w:t xml:space="preserve">Tekući plan za 2015. godinu </w:t>
      </w:r>
      <w:r>
        <w:rPr>
          <w:rFonts w:ascii="Times New Roman" w:hAnsi="Times New Roman" w:cs="Times New Roman"/>
        </w:rPr>
        <w:t>sadrži podatke prije I</w:t>
      </w:r>
      <w:r w:rsidRPr="006E127A">
        <w:rPr>
          <w:rFonts w:ascii="Times New Roman" w:hAnsi="Times New Roman" w:cs="Times New Roman"/>
        </w:rPr>
        <w:t xml:space="preserve">zmjena i </w:t>
      </w:r>
      <w:r>
        <w:rPr>
          <w:rFonts w:ascii="Times New Roman" w:hAnsi="Times New Roman" w:cs="Times New Roman"/>
        </w:rPr>
        <w:t>dopuna D</w:t>
      </w:r>
      <w:r w:rsidRPr="006E127A">
        <w:rPr>
          <w:rFonts w:ascii="Times New Roman" w:hAnsi="Times New Roman" w:cs="Times New Roman"/>
        </w:rPr>
        <w:t xml:space="preserve">ržavnog proračuna RH za 2015. </w:t>
      </w:r>
      <w:r>
        <w:rPr>
          <w:rFonts w:ascii="Times New Roman" w:hAnsi="Times New Roman" w:cs="Times New Roman"/>
        </w:rPr>
        <w:t>g</w:t>
      </w:r>
      <w:r w:rsidRPr="006E127A">
        <w:rPr>
          <w:rFonts w:ascii="Times New Roman" w:hAnsi="Times New Roman" w:cs="Times New Roman"/>
        </w:rPr>
        <w:t>odinu</w:t>
      </w:r>
      <w:r>
        <w:rPr>
          <w:rFonts w:ascii="Times New Roman" w:hAnsi="Times New Roman" w:cs="Times New Roman"/>
        </w:rPr>
        <w:t xml:space="preserve"> i projekcija za 2016. i 2017. (Narodne novine, br.103A/15)</w:t>
      </w:r>
      <w:r w:rsidRPr="006E127A">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152"/>
    <w:multiLevelType w:val="hybridMultilevel"/>
    <w:tmpl w:val="1C9CE9E8"/>
    <w:lvl w:ilvl="0" w:tplc="7A545F3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2608E6"/>
    <w:multiLevelType w:val="hybridMultilevel"/>
    <w:tmpl w:val="F516E6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CF5C46"/>
    <w:multiLevelType w:val="hybridMultilevel"/>
    <w:tmpl w:val="A538C2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8571785"/>
    <w:multiLevelType w:val="hybridMultilevel"/>
    <w:tmpl w:val="D11223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EC5572B"/>
    <w:multiLevelType w:val="hybridMultilevel"/>
    <w:tmpl w:val="746A7BA2"/>
    <w:lvl w:ilvl="0" w:tplc="D0EEE89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EF45E5A"/>
    <w:multiLevelType w:val="hybridMultilevel"/>
    <w:tmpl w:val="BDF4CEDE"/>
    <w:lvl w:ilvl="0" w:tplc="0748AC22">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987AC9"/>
    <w:multiLevelType w:val="hybridMultilevel"/>
    <w:tmpl w:val="F516E6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1604C6F"/>
    <w:multiLevelType w:val="hybridMultilevel"/>
    <w:tmpl w:val="6FB01C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CAC3014"/>
    <w:multiLevelType w:val="multilevel"/>
    <w:tmpl w:val="8C589E0E"/>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9">
    <w:nsid w:val="20494921"/>
    <w:multiLevelType w:val="hybridMultilevel"/>
    <w:tmpl w:val="A0008B96"/>
    <w:lvl w:ilvl="0" w:tplc="8F4020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39E21CE"/>
    <w:multiLevelType w:val="hybridMultilevel"/>
    <w:tmpl w:val="D11223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7325328"/>
    <w:multiLevelType w:val="hybridMultilevel"/>
    <w:tmpl w:val="722ED2AE"/>
    <w:lvl w:ilvl="0" w:tplc="B9AC8966">
      <w:start w:val="3"/>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2">
    <w:nsid w:val="283778DF"/>
    <w:multiLevelType w:val="hybridMultilevel"/>
    <w:tmpl w:val="27B003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C7717EE"/>
    <w:multiLevelType w:val="hybridMultilevel"/>
    <w:tmpl w:val="261699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D456960"/>
    <w:multiLevelType w:val="hybridMultilevel"/>
    <w:tmpl w:val="CCDEF112"/>
    <w:lvl w:ilvl="0" w:tplc="D6B468F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E3F6B51"/>
    <w:multiLevelType w:val="hybridMultilevel"/>
    <w:tmpl w:val="8118F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F9D44EA"/>
    <w:multiLevelType w:val="hybridMultilevel"/>
    <w:tmpl w:val="D9ECE5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18F71A4"/>
    <w:multiLevelType w:val="hybridMultilevel"/>
    <w:tmpl w:val="A0008B96"/>
    <w:lvl w:ilvl="0" w:tplc="8F4020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302170E"/>
    <w:multiLevelType w:val="hybridMultilevel"/>
    <w:tmpl w:val="1DA4A046"/>
    <w:lvl w:ilvl="0" w:tplc="86922782">
      <w:start w:val="1"/>
      <w:numFmt w:val="decimal"/>
      <w:lvlText w:val="%1."/>
      <w:lvlJc w:val="left"/>
      <w:pPr>
        <w:ind w:left="1068" w:hanging="360"/>
      </w:pPr>
      <w:rPr>
        <w:rFonts w:hint="default"/>
        <w:u w:val="none"/>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nsid w:val="35303127"/>
    <w:multiLevelType w:val="hybridMultilevel"/>
    <w:tmpl w:val="A93838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66876AB"/>
    <w:multiLevelType w:val="hybridMultilevel"/>
    <w:tmpl w:val="E888326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72B3AD4"/>
    <w:multiLevelType w:val="hybridMultilevel"/>
    <w:tmpl w:val="E888326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D6461DE"/>
    <w:multiLevelType w:val="hybridMultilevel"/>
    <w:tmpl w:val="75A491A0"/>
    <w:lvl w:ilvl="0" w:tplc="6F84880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E271D08"/>
    <w:multiLevelType w:val="hybridMultilevel"/>
    <w:tmpl w:val="864A4BCC"/>
    <w:lvl w:ilvl="0" w:tplc="E7822652">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E341958"/>
    <w:multiLevelType w:val="hybridMultilevel"/>
    <w:tmpl w:val="CCDEF112"/>
    <w:lvl w:ilvl="0" w:tplc="D6B468F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F6E1019"/>
    <w:multiLevelType w:val="hybridMultilevel"/>
    <w:tmpl w:val="22DCD86C"/>
    <w:lvl w:ilvl="0" w:tplc="CD4422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4646FEE"/>
    <w:multiLevelType w:val="hybridMultilevel"/>
    <w:tmpl w:val="73724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D1B43C3"/>
    <w:multiLevelType w:val="hybridMultilevel"/>
    <w:tmpl w:val="746A7BA2"/>
    <w:lvl w:ilvl="0" w:tplc="D0EEE89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E183B79"/>
    <w:multiLevelType w:val="hybridMultilevel"/>
    <w:tmpl w:val="645CA39A"/>
    <w:lvl w:ilvl="0" w:tplc="D6B468F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F874158"/>
    <w:multiLevelType w:val="hybridMultilevel"/>
    <w:tmpl w:val="3D52D2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6D03103"/>
    <w:multiLevelType w:val="hybridMultilevel"/>
    <w:tmpl w:val="FD809F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8E04615"/>
    <w:multiLevelType w:val="hybridMultilevel"/>
    <w:tmpl w:val="6F966C38"/>
    <w:lvl w:ilvl="0" w:tplc="1BCE08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A424D9E"/>
    <w:multiLevelType w:val="hybridMultilevel"/>
    <w:tmpl w:val="333AC7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DBA7CB6"/>
    <w:multiLevelType w:val="hybridMultilevel"/>
    <w:tmpl w:val="E79288EE"/>
    <w:lvl w:ilvl="0" w:tplc="9EF46598">
      <w:start w:val="1"/>
      <w:numFmt w:val="decimal"/>
      <w:lvlText w:val="%1."/>
      <w:lvlJc w:val="left"/>
      <w:pPr>
        <w:ind w:left="720" w:hanging="360"/>
      </w:pPr>
      <w:rPr>
        <w:rFonts w:ascii="Arial" w:hAnsi="Arial" w:cs="Arial"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09870C4"/>
    <w:multiLevelType w:val="hybridMultilevel"/>
    <w:tmpl w:val="083671CC"/>
    <w:lvl w:ilvl="0" w:tplc="6F84880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1844B09"/>
    <w:multiLevelType w:val="hybridMultilevel"/>
    <w:tmpl w:val="BF8CD134"/>
    <w:lvl w:ilvl="0" w:tplc="041A000F">
      <w:start w:val="1"/>
      <w:numFmt w:val="decimal"/>
      <w:lvlText w:val="%1."/>
      <w:lvlJc w:val="left"/>
      <w:pPr>
        <w:ind w:left="3900" w:hanging="360"/>
      </w:pPr>
      <w:rPr>
        <w:rFonts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36">
    <w:nsid w:val="66796D41"/>
    <w:multiLevelType w:val="hybridMultilevel"/>
    <w:tmpl w:val="6F966C38"/>
    <w:lvl w:ilvl="0" w:tplc="1BCE08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6AA2B21"/>
    <w:multiLevelType w:val="hybridMultilevel"/>
    <w:tmpl w:val="512C5B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8FD4DAC"/>
    <w:multiLevelType w:val="hybridMultilevel"/>
    <w:tmpl w:val="844001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CCF7205"/>
    <w:multiLevelType w:val="hybridMultilevel"/>
    <w:tmpl w:val="C97E89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16"/>
  </w:num>
  <w:num w:numId="3">
    <w:abstractNumId w:val="35"/>
  </w:num>
  <w:num w:numId="4">
    <w:abstractNumId w:val="8"/>
  </w:num>
  <w:num w:numId="5">
    <w:abstractNumId w:val="36"/>
  </w:num>
  <w:num w:numId="6">
    <w:abstractNumId w:val="28"/>
  </w:num>
  <w:num w:numId="7">
    <w:abstractNumId w:val="23"/>
  </w:num>
  <w:num w:numId="8">
    <w:abstractNumId w:val="37"/>
  </w:num>
  <w:num w:numId="9">
    <w:abstractNumId w:val="39"/>
  </w:num>
  <w:num w:numId="10">
    <w:abstractNumId w:val="9"/>
  </w:num>
  <w:num w:numId="11">
    <w:abstractNumId w:val="5"/>
  </w:num>
  <w:num w:numId="12">
    <w:abstractNumId w:val="17"/>
  </w:num>
  <w:num w:numId="13">
    <w:abstractNumId w:val="31"/>
  </w:num>
  <w:num w:numId="14">
    <w:abstractNumId w:val="24"/>
  </w:num>
  <w:num w:numId="15">
    <w:abstractNumId w:val="12"/>
  </w:num>
  <w:num w:numId="16">
    <w:abstractNumId w:val="29"/>
  </w:num>
  <w:num w:numId="17">
    <w:abstractNumId w:val="2"/>
  </w:num>
  <w:num w:numId="18">
    <w:abstractNumId w:val="6"/>
  </w:num>
  <w:num w:numId="19">
    <w:abstractNumId w:val="14"/>
  </w:num>
  <w:num w:numId="20">
    <w:abstractNumId w:val="32"/>
  </w:num>
  <w:num w:numId="21">
    <w:abstractNumId w:val="33"/>
  </w:num>
  <w:num w:numId="22">
    <w:abstractNumId w:val="30"/>
  </w:num>
  <w:num w:numId="23">
    <w:abstractNumId w:val="7"/>
  </w:num>
  <w:num w:numId="24">
    <w:abstractNumId w:val="13"/>
  </w:num>
  <w:num w:numId="25">
    <w:abstractNumId w:val="10"/>
  </w:num>
  <w:num w:numId="26">
    <w:abstractNumId w:val="15"/>
  </w:num>
  <w:num w:numId="27">
    <w:abstractNumId w:val="18"/>
  </w:num>
  <w:num w:numId="28">
    <w:abstractNumId w:val="38"/>
  </w:num>
  <w:num w:numId="29">
    <w:abstractNumId w:val="1"/>
  </w:num>
  <w:num w:numId="30">
    <w:abstractNumId w:val="19"/>
  </w:num>
  <w:num w:numId="31">
    <w:abstractNumId w:val="0"/>
  </w:num>
  <w:num w:numId="32">
    <w:abstractNumId w:val="21"/>
  </w:num>
  <w:num w:numId="33">
    <w:abstractNumId w:val="11"/>
  </w:num>
  <w:num w:numId="34">
    <w:abstractNumId w:val="20"/>
  </w:num>
  <w:num w:numId="35">
    <w:abstractNumId w:val="25"/>
  </w:num>
  <w:num w:numId="36">
    <w:abstractNumId w:val="4"/>
  </w:num>
  <w:num w:numId="37">
    <w:abstractNumId w:val="27"/>
  </w:num>
  <w:num w:numId="38">
    <w:abstractNumId w:val="26"/>
  </w:num>
  <w:num w:numId="39">
    <w:abstractNumId w:val="3"/>
  </w:num>
  <w:num w:numId="40">
    <w:abstractNumId w:val="22"/>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w15:presenceInfo w15:providerId="None" w15:userId="Miha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47"/>
    <w:rsid w:val="000040BA"/>
    <w:rsid w:val="0000437E"/>
    <w:rsid w:val="00005075"/>
    <w:rsid w:val="0000685B"/>
    <w:rsid w:val="00006C9C"/>
    <w:rsid w:val="000070A2"/>
    <w:rsid w:val="00007AC4"/>
    <w:rsid w:val="00007C49"/>
    <w:rsid w:val="00007E94"/>
    <w:rsid w:val="000135FE"/>
    <w:rsid w:val="00014799"/>
    <w:rsid w:val="0001531B"/>
    <w:rsid w:val="000157BA"/>
    <w:rsid w:val="0001609D"/>
    <w:rsid w:val="0001753C"/>
    <w:rsid w:val="0001779E"/>
    <w:rsid w:val="00017961"/>
    <w:rsid w:val="00022BA3"/>
    <w:rsid w:val="000277F0"/>
    <w:rsid w:val="00030833"/>
    <w:rsid w:val="0003259E"/>
    <w:rsid w:val="00033910"/>
    <w:rsid w:val="0003396C"/>
    <w:rsid w:val="0003655A"/>
    <w:rsid w:val="00036561"/>
    <w:rsid w:val="000369B5"/>
    <w:rsid w:val="00036CA7"/>
    <w:rsid w:val="00037DEB"/>
    <w:rsid w:val="0004092B"/>
    <w:rsid w:val="000418FE"/>
    <w:rsid w:val="0004420B"/>
    <w:rsid w:val="0004695F"/>
    <w:rsid w:val="000474DC"/>
    <w:rsid w:val="0004772C"/>
    <w:rsid w:val="0005043B"/>
    <w:rsid w:val="0005185A"/>
    <w:rsid w:val="00052FDA"/>
    <w:rsid w:val="000532BD"/>
    <w:rsid w:val="00053FD0"/>
    <w:rsid w:val="00055218"/>
    <w:rsid w:val="00062428"/>
    <w:rsid w:val="00062555"/>
    <w:rsid w:val="0006620E"/>
    <w:rsid w:val="00067A6C"/>
    <w:rsid w:val="00071049"/>
    <w:rsid w:val="00071347"/>
    <w:rsid w:val="00072A51"/>
    <w:rsid w:val="00072CB6"/>
    <w:rsid w:val="00072CC1"/>
    <w:rsid w:val="00074225"/>
    <w:rsid w:val="00074A4A"/>
    <w:rsid w:val="00074E8B"/>
    <w:rsid w:val="000775B9"/>
    <w:rsid w:val="00080536"/>
    <w:rsid w:val="00081918"/>
    <w:rsid w:val="00081C90"/>
    <w:rsid w:val="00082BFB"/>
    <w:rsid w:val="00082F32"/>
    <w:rsid w:val="00083A57"/>
    <w:rsid w:val="00083D06"/>
    <w:rsid w:val="00085753"/>
    <w:rsid w:val="00086058"/>
    <w:rsid w:val="00090C94"/>
    <w:rsid w:val="000922CB"/>
    <w:rsid w:val="00092B8B"/>
    <w:rsid w:val="00092C5C"/>
    <w:rsid w:val="00092E8E"/>
    <w:rsid w:val="00092EA1"/>
    <w:rsid w:val="00093A48"/>
    <w:rsid w:val="000A0781"/>
    <w:rsid w:val="000A2894"/>
    <w:rsid w:val="000A3D7F"/>
    <w:rsid w:val="000A52B8"/>
    <w:rsid w:val="000A581D"/>
    <w:rsid w:val="000B0A11"/>
    <w:rsid w:val="000B0C9D"/>
    <w:rsid w:val="000B10C1"/>
    <w:rsid w:val="000B370F"/>
    <w:rsid w:val="000B4416"/>
    <w:rsid w:val="000B6155"/>
    <w:rsid w:val="000C0BAA"/>
    <w:rsid w:val="000C110B"/>
    <w:rsid w:val="000C1378"/>
    <w:rsid w:val="000C2DCE"/>
    <w:rsid w:val="000C335F"/>
    <w:rsid w:val="000C4834"/>
    <w:rsid w:val="000C4FBD"/>
    <w:rsid w:val="000C549D"/>
    <w:rsid w:val="000C5684"/>
    <w:rsid w:val="000C5C27"/>
    <w:rsid w:val="000C5C97"/>
    <w:rsid w:val="000C625A"/>
    <w:rsid w:val="000C672C"/>
    <w:rsid w:val="000C7430"/>
    <w:rsid w:val="000C7A07"/>
    <w:rsid w:val="000C7CE0"/>
    <w:rsid w:val="000D0271"/>
    <w:rsid w:val="000D136A"/>
    <w:rsid w:val="000D15A0"/>
    <w:rsid w:val="000D2BC6"/>
    <w:rsid w:val="000D4B33"/>
    <w:rsid w:val="000D4DA3"/>
    <w:rsid w:val="000D5256"/>
    <w:rsid w:val="000D5807"/>
    <w:rsid w:val="000D5EE0"/>
    <w:rsid w:val="000D60C5"/>
    <w:rsid w:val="000D7A81"/>
    <w:rsid w:val="000E105C"/>
    <w:rsid w:val="000E12F3"/>
    <w:rsid w:val="000E2163"/>
    <w:rsid w:val="000E359A"/>
    <w:rsid w:val="000E3D55"/>
    <w:rsid w:val="000E472D"/>
    <w:rsid w:val="000E59E4"/>
    <w:rsid w:val="000E5A1D"/>
    <w:rsid w:val="000E63B1"/>
    <w:rsid w:val="000E6563"/>
    <w:rsid w:val="000F191A"/>
    <w:rsid w:val="000F1DE1"/>
    <w:rsid w:val="000F23C4"/>
    <w:rsid w:val="000F3DAC"/>
    <w:rsid w:val="000F50A0"/>
    <w:rsid w:val="000F61C9"/>
    <w:rsid w:val="000F6421"/>
    <w:rsid w:val="000F6FF6"/>
    <w:rsid w:val="000F72FB"/>
    <w:rsid w:val="00100CB8"/>
    <w:rsid w:val="00100E9E"/>
    <w:rsid w:val="0010224D"/>
    <w:rsid w:val="001022B3"/>
    <w:rsid w:val="00103582"/>
    <w:rsid w:val="00107E83"/>
    <w:rsid w:val="00110689"/>
    <w:rsid w:val="00111C2D"/>
    <w:rsid w:val="00111D29"/>
    <w:rsid w:val="001122A8"/>
    <w:rsid w:val="0011245D"/>
    <w:rsid w:val="00112875"/>
    <w:rsid w:val="00115CE5"/>
    <w:rsid w:val="00115E7C"/>
    <w:rsid w:val="001167F0"/>
    <w:rsid w:val="00117D6D"/>
    <w:rsid w:val="00120777"/>
    <w:rsid w:val="00124A08"/>
    <w:rsid w:val="00126D03"/>
    <w:rsid w:val="001273A6"/>
    <w:rsid w:val="00131176"/>
    <w:rsid w:val="0013254A"/>
    <w:rsid w:val="00132CE6"/>
    <w:rsid w:val="0013452D"/>
    <w:rsid w:val="00135002"/>
    <w:rsid w:val="00136707"/>
    <w:rsid w:val="00136781"/>
    <w:rsid w:val="00136CDA"/>
    <w:rsid w:val="001376B2"/>
    <w:rsid w:val="00137BA0"/>
    <w:rsid w:val="00140288"/>
    <w:rsid w:val="001405B4"/>
    <w:rsid w:val="00141250"/>
    <w:rsid w:val="00141A21"/>
    <w:rsid w:val="00141CC2"/>
    <w:rsid w:val="001427A8"/>
    <w:rsid w:val="00143687"/>
    <w:rsid w:val="001448E6"/>
    <w:rsid w:val="0014593E"/>
    <w:rsid w:val="001506B8"/>
    <w:rsid w:val="00152182"/>
    <w:rsid w:val="00152676"/>
    <w:rsid w:val="00152D67"/>
    <w:rsid w:val="00153AAA"/>
    <w:rsid w:val="00154888"/>
    <w:rsid w:val="00155303"/>
    <w:rsid w:val="00155317"/>
    <w:rsid w:val="00155977"/>
    <w:rsid w:val="00155A7E"/>
    <w:rsid w:val="001574CE"/>
    <w:rsid w:val="001601D1"/>
    <w:rsid w:val="001611D8"/>
    <w:rsid w:val="00161BD1"/>
    <w:rsid w:val="00161D5F"/>
    <w:rsid w:val="0016236A"/>
    <w:rsid w:val="00163811"/>
    <w:rsid w:val="00163C44"/>
    <w:rsid w:val="00165B0B"/>
    <w:rsid w:val="00165BFE"/>
    <w:rsid w:val="00166BAB"/>
    <w:rsid w:val="00166D96"/>
    <w:rsid w:val="001674D2"/>
    <w:rsid w:val="001679A6"/>
    <w:rsid w:val="00167BD8"/>
    <w:rsid w:val="00170887"/>
    <w:rsid w:val="001726BF"/>
    <w:rsid w:val="00172DD4"/>
    <w:rsid w:val="00172E73"/>
    <w:rsid w:val="001731A0"/>
    <w:rsid w:val="00173442"/>
    <w:rsid w:val="00174003"/>
    <w:rsid w:val="001752A6"/>
    <w:rsid w:val="001758F9"/>
    <w:rsid w:val="00175CDF"/>
    <w:rsid w:val="001804E8"/>
    <w:rsid w:val="00181E6A"/>
    <w:rsid w:val="001824F7"/>
    <w:rsid w:val="00183F73"/>
    <w:rsid w:val="0018412E"/>
    <w:rsid w:val="00187234"/>
    <w:rsid w:val="001901D2"/>
    <w:rsid w:val="00190CBF"/>
    <w:rsid w:val="00191471"/>
    <w:rsid w:val="00191AC5"/>
    <w:rsid w:val="00192018"/>
    <w:rsid w:val="00192DB7"/>
    <w:rsid w:val="001933FB"/>
    <w:rsid w:val="00193D44"/>
    <w:rsid w:val="001940C3"/>
    <w:rsid w:val="00194EF2"/>
    <w:rsid w:val="00195923"/>
    <w:rsid w:val="0019764D"/>
    <w:rsid w:val="001A03B3"/>
    <w:rsid w:val="001A135D"/>
    <w:rsid w:val="001A13DE"/>
    <w:rsid w:val="001A16E4"/>
    <w:rsid w:val="001A312D"/>
    <w:rsid w:val="001A4619"/>
    <w:rsid w:val="001A6ADB"/>
    <w:rsid w:val="001A6EE9"/>
    <w:rsid w:val="001B1A7A"/>
    <w:rsid w:val="001B1A8D"/>
    <w:rsid w:val="001B2546"/>
    <w:rsid w:val="001B2FCD"/>
    <w:rsid w:val="001B4A45"/>
    <w:rsid w:val="001B6169"/>
    <w:rsid w:val="001B7738"/>
    <w:rsid w:val="001C01A8"/>
    <w:rsid w:val="001C1CAB"/>
    <w:rsid w:val="001C3418"/>
    <w:rsid w:val="001C497F"/>
    <w:rsid w:val="001C4A13"/>
    <w:rsid w:val="001C6AE2"/>
    <w:rsid w:val="001C6FA4"/>
    <w:rsid w:val="001D096B"/>
    <w:rsid w:val="001D431A"/>
    <w:rsid w:val="001D626B"/>
    <w:rsid w:val="001D64DF"/>
    <w:rsid w:val="001E1083"/>
    <w:rsid w:val="001E1CE2"/>
    <w:rsid w:val="001E1D32"/>
    <w:rsid w:val="001E2B41"/>
    <w:rsid w:val="001E301E"/>
    <w:rsid w:val="001E4046"/>
    <w:rsid w:val="001E4BF4"/>
    <w:rsid w:val="001E4C4E"/>
    <w:rsid w:val="001F1612"/>
    <w:rsid w:val="001F1790"/>
    <w:rsid w:val="001F17A3"/>
    <w:rsid w:val="001F1F43"/>
    <w:rsid w:val="001F48D5"/>
    <w:rsid w:val="001F5F3E"/>
    <w:rsid w:val="001F6027"/>
    <w:rsid w:val="001F7259"/>
    <w:rsid w:val="001F73C9"/>
    <w:rsid w:val="00200204"/>
    <w:rsid w:val="00202A87"/>
    <w:rsid w:val="00202BA9"/>
    <w:rsid w:val="002036FB"/>
    <w:rsid w:val="00203B94"/>
    <w:rsid w:val="00203EC1"/>
    <w:rsid w:val="002041E0"/>
    <w:rsid w:val="002055D0"/>
    <w:rsid w:val="0020613E"/>
    <w:rsid w:val="00207065"/>
    <w:rsid w:val="00207FE8"/>
    <w:rsid w:val="0021182F"/>
    <w:rsid w:val="0021336C"/>
    <w:rsid w:val="00213FAF"/>
    <w:rsid w:val="0021460A"/>
    <w:rsid w:val="002154E8"/>
    <w:rsid w:val="0021648A"/>
    <w:rsid w:val="00216624"/>
    <w:rsid w:val="0021667A"/>
    <w:rsid w:val="00217C22"/>
    <w:rsid w:val="0022012A"/>
    <w:rsid w:val="00220244"/>
    <w:rsid w:val="002204D1"/>
    <w:rsid w:val="002206A4"/>
    <w:rsid w:val="00220B16"/>
    <w:rsid w:val="0022198E"/>
    <w:rsid w:val="00221CCD"/>
    <w:rsid w:val="00222304"/>
    <w:rsid w:val="002227C4"/>
    <w:rsid w:val="002234C8"/>
    <w:rsid w:val="00225743"/>
    <w:rsid w:val="002275C5"/>
    <w:rsid w:val="00231131"/>
    <w:rsid w:val="0023169F"/>
    <w:rsid w:val="00233185"/>
    <w:rsid w:val="002345B4"/>
    <w:rsid w:val="00235427"/>
    <w:rsid w:val="0023543A"/>
    <w:rsid w:val="0023689D"/>
    <w:rsid w:val="00237EAC"/>
    <w:rsid w:val="00240353"/>
    <w:rsid w:val="0024126B"/>
    <w:rsid w:val="00241564"/>
    <w:rsid w:val="002431E6"/>
    <w:rsid w:val="0024363F"/>
    <w:rsid w:val="00245A6A"/>
    <w:rsid w:val="00246CD5"/>
    <w:rsid w:val="00250176"/>
    <w:rsid w:val="00250318"/>
    <w:rsid w:val="00250C0A"/>
    <w:rsid w:val="00250DE3"/>
    <w:rsid w:val="002512B8"/>
    <w:rsid w:val="002566D4"/>
    <w:rsid w:val="00256F73"/>
    <w:rsid w:val="00257A8F"/>
    <w:rsid w:val="00260AC4"/>
    <w:rsid w:val="00262FA3"/>
    <w:rsid w:val="00265603"/>
    <w:rsid w:val="00266275"/>
    <w:rsid w:val="00270A3A"/>
    <w:rsid w:val="00271180"/>
    <w:rsid w:val="00272E17"/>
    <w:rsid w:val="002730F9"/>
    <w:rsid w:val="002737E0"/>
    <w:rsid w:val="00275605"/>
    <w:rsid w:val="00277808"/>
    <w:rsid w:val="002809AD"/>
    <w:rsid w:val="00280CCC"/>
    <w:rsid w:val="00284930"/>
    <w:rsid w:val="0028560C"/>
    <w:rsid w:val="00285940"/>
    <w:rsid w:val="0028625D"/>
    <w:rsid w:val="0028715B"/>
    <w:rsid w:val="002875C3"/>
    <w:rsid w:val="002905C1"/>
    <w:rsid w:val="002928EA"/>
    <w:rsid w:val="00292B86"/>
    <w:rsid w:val="00292F0B"/>
    <w:rsid w:val="002939FE"/>
    <w:rsid w:val="00294037"/>
    <w:rsid w:val="0029409F"/>
    <w:rsid w:val="00295745"/>
    <w:rsid w:val="002A079F"/>
    <w:rsid w:val="002A124A"/>
    <w:rsid w:val="002A289C"/>
    <w:rsid w:val="002A3861"/>
    <w:rsid w:val="002A491B"/>
    <w:rsid w:val="002A545E"/>
    <w:rsid w:val="002A67C0"/>
    <w:rsid w:val="002A7A9A"/>
    <w:rsid w:val="002B08A5"/>
    <w:rsid w:val="002B120E"/>
    <w:rsid w:val="002B1468"/>
    <w:rsid w:val="002B1B2E"/>
    <w:rsid w:val="002B215B"/>
    <w:rsid w:val="002B2645"/>
    <w:rsid w:val="002B2B70"/>
    <w:rsid w:val="002B31B4"/>
    <w:rsid w:val="002B337C"/>
    <w:rsid w:val="002B4894"/>
    <w:rsid w:val="002B5805"/>
    <w:rsid w:val="002B6FC3"/>
    <w:rsid w:val="002B727E"/>
    <w:rsid w:val="002B7636"/>
    <w:rsid w:val="002B7B4E"/>
    <w:rsid w:val="002C0B0D"/>
    <w:rsid w:val="002C28ED"/>
    <w:rsid w:val="002C3C2E"/>
    <w:rsid w:val="002C4307"/>
    <w:rsid w:val="002C456E"/>
    <w:rsid w:val="002C609F"/>
    <w:rsid w:val="002C6224"/>
    <w:rsid w:val="002C6D22"/>
    <w:rsid w:val="002C6FBE"/>
    <w:rsid w:val="002C73F5"/>
    <w:rsid w:val="002D0343"/>
    <w:rsid w:val="002D1033"/>
    <w:rsid w:val="002D160D"/>
    <w:rsid w:val="002D27F4"/>
    <w:rsid w:val="002D31D7"/>
    <w:rsid w:val="002D3A93"/>
    <w:rsid w:val="002D4435"/>
    <w:rsid w:val="002D4527"/>
    <w:rsid w:val="002D47DE"/>
    <w:rsid w:val="002D52DF"/>
    <w:rsid w:val="002D5AD5"/>
    <w:rsid w:val="002D6C06"/>
    <w:rsid w:val="002E0472"/>
    <w:rsid w:val="002E3A6A"/>
    <w:rsid w:val="002E59D9"/>
    <w:rsid w:val="002E5F5B"/>
    <w:rsid w:val="002E66F5"/>
    <w:rsid w:val="002E6C9A"/>
    <w:rsid w:val="002E6F9D"/>
    <w:rsid w:val="002E729E"/>
    <w:rsid w:val="002F13BA"/>
    <w:rsid w:val="002F18A9"/>
    <w:rsid w:val="002F2724"/>
    <w:rsid w:val="002F4856"/>
    <w:rsid w:val="002F68C1"/>
    <w:rsid w:val="002F6AA2"/>
    <w:rsid w:val="00300829"/>
    <w:rsid w:val="00301A75"/>
    <w:rsid w:val="00301F28"/>
    <w:rsid w:val="00302028"/>
    <w:rsid w:val="00302129"/>
    <w:rsid w:val="00302E7B"/>
    <w:rsid w:val="003056A0"/>
    <w:rsid w:val="00307219"/>
    <w:rsid w:val="003074D0"/>
    <w:rsid w:val="00311BC1"/>
    <w:rsid w:val="003122E1"/>
    <w:rsid w:val="0031308A"/>
    <w:rsid w:val="00313353"/>
    <w:rsid w:val="00314DB2"/>
    <w:rsid w:val="0031513A"/>
    <w:rsid w:val="00315F7B"/>
    <w:rsid w:val="00316641"/>
    <w:rsid w:val="00317DB2"/>
    <w:rsid w:val="00320471"/>
    <w:rsid w:val="00320504"/>
    <w:rsid w:val="00320AF5"/>
    <w:rsid w:val="00320FE8"/>
    <w:rsid w:val="003224A9"/>
    <w:rsid w:val="00327A6A"/>
    <w:rsid w:val="00332CA2"/>
    <w:rsid w:val="0033349C"/>
    <w:rsid w:val="00335309"/>
    <w:rsid w:val="003370AB"/>
    <w:rsid w:val="00337DB8"/>
    <w:rsid w:val="00341C7B"/>
    <w:rsid w:val="00342FF9"/>
    <w:rsid w:val="003440B7"/>
    <w:rsid w:val="00344AC8"/>
    <w:rsid w:val="00346349"/>
    <w:rsid w:val="00350787"/>
    <w:rsid w:val="003511DA"/>
    <w:rsid w:val="00351F5E"/>
    <w:rsid w:val="00352FED"/>
    <w:rsid w:val="0035337C"/>
    <w:rsid w:val="00353753"/>
    <w:rsid w:val="0035401A"/>
    <w:rsid w:val="00354187"/>
    <w:rsid w:val="003553C0"/>
    <w:rsid w:val="003561BA"/>
    <w:rsid w:val="003574AD"/>
    <w:rsid w:val="00357C1F"/>
    <w:rsid w:val="00360125"/>
    <w:rsid w:val="003603DE"/>
    <w:rsid w:val="0036155A"/>
    <w:rsid w:val="003627CA"/>
    <w:rsid w:val="003627DB"/>
    <w:rsid w:val="00363432"/>
    <w:rsid w:val="00363A68"/>
    <w:rsid w:val="0036596B"/>
    <w:rsid w:val="00366911"/>
    <w:rsid w:val="00367209"/>
    <w:rsid w:val="00367DF3"/>
    <w:rsid w:val="00370665"/>
    <w:rsid w:val="00370A57"/>
    <w:rsid w:val="00370BC7"/>
    <w:rsid w:val="00374363"/>
    <w:rsid w:val="00380BCB"/>
    <w:rsid w:val="003813DF"/>
    <w:rsid w:val="003829FF"/>
    <w:rsid w:val="00382C62"/>
    <w:rsid w:val="00384371"/>
    <w:rsid w:val="003849D3"/>
    <w:rsid w:val="003862D9"/>
    <w:rsid w:val="00386350"/>
    <w:rsid w:val="003866B8"/>
    <w:rsid w:val="00391DCB"/>
    <w:rsid w:val="00395324"/>
    <w:rsid w:val="00396FCF"/>
    <w:rsid w:val="003A0F12"/>
    <w:rsid w:val="003A0F79"/>
    <w:rsid w:val="003A1D55"/>
    <w:rsid w:val="003A20C3"/>
    <w:rsid w:val="003A6F8E"/>
    <w:rsid w:val="003A752D"/>
    <w:rsid w:val="003B0923"/>
    <w:rsid w:val="003B2126"/>
    <w:rsid w:val="003B28EC"/>
    <w:rsid w:val="003B7588"/>
    <w:rsid w:val="003C0950"/>
    <w:rsid w:val="003C1E04"/>
    <w:rsid w:val="003C27F8"/>
    <w:rsid w:val="003C2FDD"/>
    <w:rsid w:val="003C338E"/>
    <w:rsid w:val="003C4262"/>
    <w:rsid w:val="003C4E27"/>
    <w:rsid w:val="003C685F"/>
    <w:rsid w:val="003C732B"/>
    <w:rsid w:val="003C7AE9"/>
    <w:rsid w:val="003D10BB"/>
    <w:rsid w:val="003D197F"/>
    <w:rsid w:val="003D2B5A"/>
    <w:rsid w:val="003D2CEA"/>
    <w:rsid w:val="003D3150"/>
    <w:rsid w:val="003D46C1"/>
    <w:rsid w:val="003D47B2"/>
    <w:rsid w:val="003D494C"/>
    <w:rsid w:val="003D4BEE"/>
    <w:rsid w:val="003D68ED"/>
    <w:rsid w:val="003E043D"/>
    <w:rsid w:val="003E2375"/>
    <w:rsid w:val="003E24C5"/>
    <w:rsid w:val="003E325D"/>
    <w:rsid w:val="003E3F86"/>
    <w:rsid w:val="003E568B"/>
    <w:rsid w:val="003E56B6"/>
    <w:rsid w:val="003F1D57"/>
    <w:rsid w:val="003F22E7"/>
    <w:rsid w:val="003F26EE"/>
    <w:rsid w:val="003F3D2D"/>
    <w:rsid w:val="003F4765"/>
    <w:rsid w:val="003F4A8D"/>
    <w:rsid w:val="003F4EA4"/>
    <w:rsid w:val="003F511D"/>
    <w:rsid w:val="003F642C"/>
    <w:rsid w:val="003F661A"/>
    <w:rsid w:val="003F707B"/>
    <w:rsid w:val="0040005F"/>
    <w:rsid w:val="00401D14"/>
    <w:rsid w:val="00402647"/>
    <w:rsid w:val="00402BB0"/>
    <w:rsid w:val="0040350D"/>
    <w:rsid w:val="00403C7B"/>
    <w:rsid w:val="00404762"/>
    <w:rsid w:val="00404C12"/>
    <w:rsid w:val="004065BD"/>
    <w:rsid w:val="00410B85"/>
    <w:rsid w:val="00410BDA"/>
    <w:rsid w:val="00411D88"/>
    <w:rsid w:val="0041281D"/>
    <w:rsid w:val="00412DE3"/>
    <w:rsid w:val="00415F27"/>
    <w:rsid w:val="004162A3"/>
    <w:rsid w:val="00416EE9"/>
    <w:rsid w:val="0041771F"/>
    <w:rsid w:val="004203F9"/>
    <w:rsid w:val="0042271B"/>
    <w:rsid w:val="00422AA0"/>
    <w:rsid w:val="004234E2"/>
    <w:rsid w:val="004238CD"/>
    <w:rsid w:val="00423C9B"/>
    <w:rsid w:val="00424441"/>
    <w:rsid w:val="0042465F"/>
    <w:rsid w:val="00426EBE"/>
    <w:rsid w:val="00430B03"/>
    <w:rsid w:val="00430F3C"/>
    <w:rsid w:val="00432054"/>
    <w:rsid w:val="0043334B"/>
    <w:rsid w:val="00436DA9"/>
    <w:rsid w:val="00436F54"/>
    <w:rsid w:val="0043716A"/>
    <w:rsid w:val="0044118D"/>
    <w:rsid w:val="00442983"/>
    <w:rsid w:val="00444B7E"/>
    <w:rsid w:val="00445712"/>
    <w:rsid w:val="00445912"/>
    <w:rsid w:val="00446B8A"/>
    <w:rsid w:val="00450C6A"/>
    <w:rsid w:val="004514D6"/>
    <w:rsid w:val="004514E4"/>
    <w:rsid w:val="00451D12"/>
    <w:rsid w:val="0045220D"/>
    <w:rsid w:val="004550C2"/>
    <w:rsid w:val="004551E5"/>
    <w:rsid w:val="00455877"/>
    <w:rsid w:val="00456438"/>
    <w:rsid w:val="00456825"/>
    <w:rsid w:val="00456FEA"/>
    <w:rsid w:val="00457355"/>
    <w:rsid w:val="00457711"/>
    <w:rsid w:val="00462AD8"/>
    <w:rsid w:val="00463086"/>
    <w:rsid w:val="00465388"/>
    <w:rsid w:val="00466331"/>
    <w:rsid w:val="004669BE"/>
    <w:rsid w:val="00466F5E"/>
    <w:rsid w:val="00467EC8"/>
    <w:rsid w:val="00467F77"/>
    <w:rsid w:val="00470094"/>
    <w:rsid w:val="00470BE2"/>
    <w:rsid w:val="004710D5"/>
    <w:rsid w:val="00472068"/>
    <w:rsid w:val="00472712"/>
    <w:rsid w:val="00474687"/>
    <w:rsid w:val="004762A2"/>
    <w:rsid w:val="00476904"/>
    <w:rsid w:val="004805AD"/>
    <w:rsid w:val="004810A5"/>
    <w:rsid w:val="00481506"/>
    <w:rsid w:val="00481FBC"/>
    <w:rsid w:val="004839F5"/>
    <w:rsid w:val="00483AB0"/>
    <w:rsid w:val="004844AF"/>
    <w:rsid w:val="004848B9"/>
    <w:rsid w:val="004859E1"/>
    <w:rsid w:val="004866A7"/>
    <w:rsid w:val="0048759C"/>
    <w:rsid w:val="0049092F"/>
    <w:rsid w:val="00490E9D"/>
    <w:rsid w:val="004919A8"/>
    <w:rsid w:val="004919F0"/>
    <w:rsid w:val="00492D42"/>
    <w:rsid w:val="00495E83"/>
    <w:rsid w:val="004A04A4"/>
    <w:rsid w:val="004A0552"/>
    <w:rsid w:val="004A0F0B"/>
    <w:rsid w:val="004A31E7"/>
    <w:rsid w:val="004A37BD"/>
    <w:rsid w:val="004A3E7D"/>
    <w:rsid w:val="004A41C4"/>
    <w:rsid w:val="004A46CD"/>
    <w:rsid w:val="004A677B"/>
    <w:rsid w:val="004A754C"/>
    <w:rsid w:val="004B0028"/>
    <w:rsid w:val="004B0510"/>
    <w:rsid w:val="004B1246"/>
    <w:rsid w:val="004B14C4"/>
    <w:rsid w:val="004B2A5D"/>
    <w:rsid w:val="004B5489"/>
    <w:rsid w:val="004B65CD"/>
    <w:rsid w:val="004B7F21"/>
    <w:rsid w:val="004C0462"/>
    <w:rsid w:val="004C079C"/>
    <w:rsid w:val="004C28FE"/>
    <w:rsid w:val="004C44EE"/>
    <w:rsid w:val="004C4AC0"/>
    <w:rsid w:val="004C4AD8"/>
    <w:rsid w:val="004C5BCD"/>
    <w:rsid w:val="004D40B5"/>
    <w:rsid w:val="004D451C"/>
    <w:rsid w:val="004D5834"/>
    <w:rsid w:val="004D594C"/>
    <w:rsid w:val="004D705B"/>
    <w:rsid w:val="004D78EE"/>
    <w:rsid w:val="004D7AE6"/>
    <w:rsid w:val="004E0394"/>
    <w:rsid w:val="004E085A"/>
    <w:rsid w:val="004E26F1"/>
    <w:rsid w:val="004E2D7B"/>
    <w:rsid w:val="004E3C8C"/>
    <w:rsid w:val="004E3E07"/>
    <w:rsid w:val="004E478A"/>
    <w:rsid w:val="004E5B15"/>
    <w:rsid w:val="004F0BAE"/>
    <w:rsid w:val="004F0DCA"/>
    <w:rsid w:val="004F1827"/>
    <w:rsid w:val="004F19FD"/>
    <w:rsid w:val="004F1DB2"/>
    <w:rsid w:val="004F1FCF"/>
    <w:rsid w:val="004F2089"/>
    <w:rsid w:val="004F22B0"/>
    <w:rsid w:val="004F23FB"/>
    <w:rsid w:val="004F42C1"/>
    <w:rsid w:val="004F4F27"/>
    <w:rsid w:val="004F6A71"/>
    <w:rsid w:val="0050053A"/>
    <w:rsid w:val="00500A3F"/>
    <w:rsid w:val="00500A8F"/>
    <w:rsid w:val="005024AB"/>
    <w:rsid w:val="00503EE2"/>
    <w:rsid w:val="00504420"/>
    <w:rsid w:val="005044E5"/>
    <w:rsid w:val="00505F68"/>
    <w:rsid w:val="005076A8"/>
    <w:rsid w:val="00507F25"/>
    <w:rsid w:val="00507F71"/>
    <w:rsid w:val="00510550"/>
    <w:rsid w:val="00515F19"/>
    <w:rsid w:val="005166C5"/>
    <w:rsid w:val="00516DB0"/>
    <w:rsid w:val="00517BBC"/>
    <w:rsid w:val="00517CCA"/>
    <w:rsid w:val="00520018"/>
    <w:rsid w:val="00522D47"/>
    <w:rsid w:val="00522F23"/>
    <w:rsid w:val="00524FD1"/>
    <w:rsid w:val="00525F0B"/>
    <w:rsid w:val="00525FDD"/>
    <w:rsid w:val="0052634A"/>
    <w:rsid w:val="00527751"/>
    <w:rsid w:val="00531872"/>
    <w:rsid w:val="00532557"/>
    <w:rsid w:val="00532FB5"/>
    <w:rsid w:val="00533C55"/>
    <w:rsid w:val="00533F52"/>
    <w:rsid w:val="005352AB"/>
    <w:rsid w:val="005366A3"/>
    <w:rsid w:val="005369CB"/>
    <w:rsid w:val="00536E9B"/>
    <w:rsid w:val="00537B5C"/>
    <w:rsid w:val="00541611"/>
    <w:rsid w:val="00542589"/>
    <w:rsid w:val="00542937"/>
    <w:rsid w:val="00542CB8"/>
    <w:rsid w:val="005436F8"/>
    <w:rsid w:val="00543824"/>
    <w:rsid w:val="0054560D"/>
    <w:rsid w:val="005458A9"/>
    <w:rsid w:val="00545FB5"/>
    <w:rsid w:val="00546EBB"/>
    <w:rsid w:val="00547819"/>
    <w:rsid w:val="00547CCA"/>
    <w:rsid w:val="00550166"/>
    <w:rsid w:val="00550A80"/>
    <w:rsid w:val="00551884"/>
    <w:rsid w:val="00552643"/>
    <w:rsid w:val="00553A05"/>
    <w:rsid w:val="005564A9"/>
    <w:rsid w:val="00556D7A"/>
    <w:rsid w:val="00557AA4"/>
    <w:rsid w:val="005615AB"/>
    <w:rsid w:val="00561B9C"/>
    <w:rsid w:val="00562822"/>
    <w:rsid w:val="005633A5"/>
    <w:rsid w:val="005639B1"/>
    <w:rsid w:val="00564882"/>
    <w:rsid w:val="0056518A"/>
    <w:rsid w:val="00565773"/>
    <w:rsid w:val="00565DC3"/>
    <w:rsid w:val="005670B9"/>
    <w:rsid w:val="0057034C"/>
    <w:rsid w:val="00572451"/>
    <w:rsid w:val="00573C43"/>
    <w:rsid w:val="00574230"/>
    <w:rsid w:val="0057515B"/>
    <w:rsid w:val="00576438"/>
    <w:rsid w:val="005768D3"/>
    <w:rsid w:val="005815C2"/>
    <w:rsid w:val="00581FE5"/>
    <w:rsid w:val="005843C2"/>
    <w:rsid w:val="00584F48"/>
    <w:rsid w:val="005860CE"/>
    <w:rsid w:val="005861F0"/>
    <w:rsid w:val="00586E68"/>
    <w:rsid w:val="00590425"/>
    <w:rsid w:val="005934E1"/>
    <w:rsid w:val="0059369C"/>
    <w:rsid w:val="00593EC3"/>
    <w:rsid w:val="0059453F"/>
    <w:rsid w:val="00595870"/>
    <w:rsid w:val="00595900"/>
    <w:rsid w:val="00596AFF"/>
    <w:rsid w:val="00597272"/>
    <w:rsid w:val="005A23CC"/>
    <w:rsid w:val="005A2EB9"/>
    <w:rsid w:val="005A32D9"/>
    <w:rsid w:val="005A47C9"/>
    <w:rsid w:val="005A4CB9"/>
    <w:rsid w:val="005A644C"/>
    <w:rsid w:val="005A6F4E"/>
    <w:rsid w:val="005A7236"/>
    <w:rsid w:val="005A7F80"/>
    <w:rsid w:val="005B0AAE"/>
    <w:rsid w:val="005B1A4E"/>
    <w:rsid w:val="005B2225"/>
    <w:rsid w:val="005B329A"/>
    <w:rsid w:val="005B46A2"/>
    <w:rsid w:val="005B6A93"/>
    <w:rsid w:val="005B78AB"/>
    <w:rsid w:val="005C27F6"/>
    <w:rsid w:val="005C2886"/>
    <w:rsid w:val="005C295D"/>
    <w:rsid w:val="005C3086"/>
    <w:rsid w:val="005C3357"/>
    <w:rsid w:val="005C39D6"/>
    <w:rsid w:val="005C4468"/>
    <w:rsid w:val="005C5480"/>
    <w:rsid w:val="005C657E"/>
    <w:rsid w:val="005C6D6A"/>
    <w:rsid w:val="005D0719"/>
    <w:rsid w:val="005D1519"/>
    <w:rsid w:val="005D4442"/>
    <w:rsid w:val="005D4A0B"/>
    <w:rsid w:val="005D5E4A"/>
    <w:rsid w:val="005D6D2D"/>
    <w:rsid w:val="005D6F02"/>
    <w:rsid w:val="005E10FB"/>
    <w:rsid w:val="005E1C12"/>
    <w:rsid w:val="005E4706"/>
    <w:rsid w:val="005E477D"/>
    <w:rsid w:val="005E5265"/>
    <w:rsid w:val="005E663A"/>
    <w:rsid w:val="005E6744"/>
    <w:rsid w:val="005F1288"/>
    <w:rsid w:val="005F27F4"/>
    <w:rsid w:val="005F3452"/>
    <w:rsid w:val="005F4D4D"/>
    <w:rsid w:val="005F4E92"/>
    <w:rsid w:val="005F5286"/>
    <w:rsid w:val="005F5406"/>
    <w:rsid w:val="005F6A79"/>
    <w:rsid w:val="005F7013"/>
    <w:rsid w:val="005F79C4"/>
    <w:rsid w:val="005F7CAE"/>
    <w:rsid w:val="0060170B"/>
    <w:rsid w:val="00602B87"/>
    <w:rsid w:val="006041D2"/>
    <w:rsid w:val="0060485A"/>
    <w:rsid w:val="0060661F"/>
    <w:rsid w:val="0060727E"/>
    <w:rsid w:val="00611565"/>
    <w:rsid w:val="00611579"/>
    <w:rsid w:val="00611AB9"/>
    <w:rsid w:val="0061233F"/>
    <w:rsid w:val="00612A89"/>
    <w:rsid w:val="0061314B"/>
    <w:rsid w:val="0061671C"/>
    <w:rsid w:val="00617A7E"/>
    <w:rsid w:val="00621AFE"/>
    <w:rsid w:val="00625BAF"/>
    <w:rsid w:val="006301A5"/>
    <w:rsid w:val="0063068A"/>
    <w:rsid w:val="00630D12"/>
    <w:rsid w:val="006328F4"/>
    <w:rsid w:val="00636AC6"/>
    <w:rsid w:val="00640AE6"/>
    <w:rsid w:val="00640B48"/>
    <w:rsid w:val="0064264A"/>
    <w:rsid w:val="006454AA"/>
    <w:rsid w:val="00647B8D"/>
    <w:rsid w:val="00650647"/>
    <w:rsid w:val="0065099C"/>
    <w:rsid w:val="00651508"/>
    <w:rsid w:val="00652525"/>
    <w:rsid w:val="00652B76"/>
    <w:rsid w:val="00654989"/>
    <w:rsid w:val="00654D67"/>
    <w:rsid w:val="00654F24"/>
    <w:rsid w:val="0065585D"/>
    <w:rsid w:val="00655C82"/>
    <w:rsid w:val="00655D6E"/>
    <w:rsid w:val="00657B4B"/>
    <w:rsid w:val="00657D69"/>
    <w:rsid w:val="006609EA"/>
    <w:rsid w:val="00661576"/>
    <w:rsid w:val="00662305"/>
    <w:rsid w:val="0066391D"/>
    <w:rsid w:val="00663F84"/>
    <w:rsid w:val="00665E8B"/>
    <w:rsid w:val="00666405"/>
    <w:rsid w:val="00666A58"/>
    <w:rsid w:val="006671D1"/>
    <w:rsid w:val="00670AF6"/>
    <w:rsid w:val="00672B05"/>
    <w:rsid w:val="0067534A"/>
    <w:rsid w:val="00675F3B"/>
    <w:rsid w:val="0067693E"/>
    <w:rsid w:val="00676A55"/>
    <w:rsid w:val="00687A9A"/>
    <w:rsid w:val="006901A4"/>
    <w:rsid w:val="00690F9E"/>
    <w:rsid w:val="00691F30"/>
    <w:rsid w:val="00692111"/>
    <w:rsid w:val="00692A52"/>
    <w:rsid w:val="0069393F"/>
    <w:rsid w:val="006A0AAF"/>
    <w:rsid w:val="006A14F9"/>
    <w:rsid w:val="006A1735"/>
    <w:rsid w:val="006A1A03"/>
    <w:rsid w:val="006A21F0"/>
    <w:rsid w:val="006A35E0"/>
    <w:rsid w:val="006A3849"/>
    <w:rsid w:val="006A45E3"/>
    <w:rsid w:val="006A46F1"/>
    <w:rsid w:val="006A490C"/>
    <w:rsid w:val="006A66AF"/>
    <w:rsid w:val="006A6E61"/>
    <w:rsid w:val="006A6F67"/>
    <w:rsid w:val="006A72C2"/>
    <w:rsid w:val="006B0921"/>
    <w:rsid w:val="006B0E65"/>
    <w:rsid w:val="006B27E0"/>
    <w:rsid w:val="006B29E3"/>
    <w:rsid w:val="006B29FC"/>
    <w:rsid w:val="006B2BED"/>
    <w:rsid w:val="006B3A94"/>
    <w:rsid w:val="006B3DA0"/>
    <w:rsid w:val="006B4BC0"/>
    <w:rsid w:val="006B6B22"/>
    <w:rsid w:val="006B7808"/>
    <w:rsid w:val="006B7B79"/>
    <w:rsid w:val="006C03C7"/>
    <w:rsid w:val="006C0BFC"/>
    <w:rsid w:val="006C190D"/>
    <w:rsid w:val="006C51D7"/>
    <w:rsid w:val="006C59E2"/>
    <w:rsid w:val="006C5A0A"/>
    <w:rsid w:val="006C61E8"/>
    <w:rsid w:val="006C671E"/>
    <w:rsid w:val="006C794B"/>
    <w:rsid w:val="006D1405"/>
    <w:rsid w:val="006D463E"/>
    <w:rsid w:val="006D4D88"/>
    <w:rsid w:val="006D5CBB"/>
    <w:rsid w:val="006D6B89"/>
    <w:rsid w:val="006D6BB6"/>
    <w:rsid w:val="006E127A"/>
    <w:rsid w:val="006E18A6"/>
    <w:rsid w:val="006E1E74"/>
    <w:rsid w:val="006E201A"/>
    <w:rsid w:val="006E2F33"/>
    <w:rsid w:val="006E416A"/>
    <w:rsid w:val="006E5024"/>
    <w:rsid w:val="006E5758"/>
    <w:rsid w:val="006E6D42"/>
    <w:rsid w:val="006E7639"/>
    <w:rsid w:val="006F025B"/>
    <w:rsid w:val="006F0563"/>
    <w:rsid w:val="006F30D8"/>
    <w:rsid w:val="006F39C7"/>
    <w:rsid w:val="006F3F6D"/>
    <w:rsid w:val="006F5C88"/>
    <w:rsid w:val="006F7335"/>
    <w:rsid w:val="006F7368"/>
    <w:rsid w:val="006F7B85"/>
    <w:rsid w:val="007003D9"/>
    <w:rsid w:val="00700E5A"/>
    <w:rsid w:val="0070232A"/>
    <w:rsid w:val="007029AF"/>
    <w:rsid w:val="007033EE"/>
    <w:rsid w:val="007044E8"/>
    <w:rsid w:val="0070467E"/>
    <w:rsid w:val="007053D5"/>
    <w:rsid w:val="00705B7B"/>
    <w:rsid w:val="007072DE"/>
    <w:rsid w:val="00707DF3"/>
    <w:rsid w:val="0071001A"/>
    <w:rsid w:val="007111B1"/>
    <w:rsid w:val="0071366F"/>
    <w:rsid w:val="0071751E"/>
    <w:rsid w:val="0071778F"/>
    <w:rsid w:val="007206E5"/>
    <w:rsid w:val="007208A7"/>
    <w:rsid w:val="0072215D"/>
    <w:rsid w:val="00722BF8"/>
    <w:rsid w:val="00723D35"/>
    <w:rsid w:val="00727F3F"/>
    <w:rsid w:val="0073219D"/>
    <w:rsid w:val="0073226B"/>
    <w:rsid w:val="00732E34"/>
    <w:rsid w:val="0073308C"/>
    <w:rsid w:val="00733177"/>
    <w:rsid w:val="00733D85"/>
    <w:rsid w:val="00734CC3"/>
    <w:rsid w:val="007361F9"/>
    <w:rsid w:val="00736949"/>
    <w:rsid w:val="007369B3"/>
    <w:rsid w:val="0074049E"/>
    <w:rsid w:val="007412BF"/>
    <w:rsid w:val="00741A53"/>
    <w:rsid w:val="00742270"/>
    <w:rsid w:val="00743039"/>
    <w:rsid w:val="00743E19"/>
    <w:rsid w:val="00745D20"/>
    <w:rsid w:val="0074605B"/>
    <w:rsid w:val="00746B5E"/>
    <w:rsid w:val="007476FE"/>
    <w:rsid w:val="007500E1"/>
    <w:rsid w:val="007505C3"/>
    <w:rsid w:val="0075060B"/>
    <w:rsid w:val="00750BAA"/>
    <w:rsid w:val="00752182"/>
    <w:rsid w:val="0075311C"/>
    <w:rsid w:val="0075399D"/>
    <w:rsid w:val="00754015"/>
    <w:rsid w:val="0075758D"/>
    <w:rsid w:val="00760651"/>
    <w:rsid w:val="007607E2"/>
    <w:rsid w:val="00761100"/>
    <w:rsid w:val="00761A2A"/>
    <w:rsid w:val="0076260A"/>
    <w:rsid w:val="00762C47"/>
    <w:rsid w:val="00762C5C"/>
    <w:rsid w:val="00762FE2"/>
    <w:rsid w:val="007630B3"/>
    <w:rsid w:val="00763EFC"/>
    <w:rsid w:val="007644E1"/>
    <w:rsid w:val="0076533A"/>
    <w:rsid w:val="0076544D"/>
    <w:rsid w:val="007662AD"/>
    <w:rsid w:val="00771A76"/>
    <w:rsid w:val="007720D4"/>
    <w:rsid w:val="0077375A"/>
    <w:rsid w:val="00774491"/>
    <w:rsid w:val="00774E7B"/>
    <w:rsid w:val="00775911"/>
    <w:rsid w:val="00775B9B"/>
    <w:rsid w:val="007807F0"/>
    <w:rsid w:val="00781285"/>
    <w:rsid w:val="0078182B"/>
    <w:rsid w:val="00781F38"/>
    <w:rsid w:val="00784EF0"/>
    <w:rsid w:val="007867A5"/>
    <w:rsid w:val="007870F1"/>
    <w:rsid w:val="00787190"/>
    <w:rsid w:val="007875C3"/>
    <w:rsid w:val="00787AF0"/>
    <w:rsid w:val="00787BE5"/>
    <w:rsid w:val="007906B2"/>
    <w:rsid w:val="00790C64"/>
    <w:rsid w:val="00790EFB"/>
    <w:rsid w:val="00790F49"/>
    <w:rsid w:val="007911E9"/>
    <w:rsid w:val="00792DC9"/>
    <w:rsid w:val="007943E8"/>
    <w:rsid w:val="00795AD1"/>
    <w:rsid w:val="007963A3"/>
    <w:rsid w:val="007A196D"/>
    <w:rsid w:val="007A1BD6"/>
    <w:rsid w:val="007A2E65"/>
    <w:rsid w:val="007A31F7"/>
    <w:rsid w:val="007A3377"/>
    <w:rsid w:val="007A3450"/>
    <w:rsid w:val="007A4038"/>
    <w:rsid w:val="007A58CD"/>
    <w:rsid w:val="007A63F6"/>
    <w:rsid w:val="007A7178"/>
    <w:rsid w:val="007A747F"/>
    <w:rsid w:val="007B0156"/>
    <w:rsid w:val="007B0422"/>
    <w:rsid w:val="007B2D78"/>
    <w:rsid w:val="007B4701"/>
    <w:rsid w:val="007B47CD"/>
    <w:rsid w:val="007B4E55"/>
    <w:rsid w:val="007B5A3C"/>
    <w:rsid w:val="007B7365"/>
    <w:rsid w:val="007B785A"/>
    <w:rsid w:val="007B7864"/>
    <w:rsid w:val="007C1DBF"/>
    <w:rsid w:val="007C4AB0"/>
    <w:rsid w:val="007C647D"/>
    <w:rsid w:val="007C771B"/>
    <w:rsid w:val="007D109D"/>
    <w:rsid w:val="007D11E8"/>
    <w:rsid w:val="007D1709"/>
    <w:rsid w:val="007D1D56"/>
    <w:rsid w:val="007D1F6D"/>
    <w:rsid w:val="007D25B0"/>
    <w:rsid w:val="007D3893"/>
    <w:rsid w:val="007D3B59"/>
    <w:rsid w:val="007D4144"/>
    <w:rsid w:val="007D4B50"/>
    <w:rsid w:val="007D4D32"/>
    <w:rsid w:val="007D4DD3"/>
    <w:rsid w:val="007D5589"/>
    <w:rsid w:val="007D5882"/>
    <w:rsid w:val="007D5CDA"/>
    <w:rsid w:val="007D6CA2"/>
    <w:rsid w:val="007D7EC5"/>
    <w:rsid w:val="007E1D00"/>
    <w:rsid w:val="007E29B9"/>
    <w:rsid w:val="007E2B8A"/>
    <w:rsid w:val="007E2CB9"/>
    <w:rsid w:val="007E2D12"/>
    <w:rsid w:val="007E4FBB"/>
    <w:rsid w:val="007E6530"/>
    <w:rsid w:val="007F0CA8"/>
    <w:rsid w:val="007F180C"/>
    <w:rsid w:val="007F1976"/>
    <w:rsid w:val="007F1F18"/>
    <w:rsid w:val="007F201C"/>
    <w:rsid w:val="007F30F6"/>
    <w:rsid w:val="007F520B"/>
    <w:rsid w:val="007F5731"/>
    <w:rsid w:val="007F5E1C"/>
    <w:rsid w:val="007F6960"/>
    <w:rsid w:val="007F6BCA"/>
    <w:rsid w:val="00800B94"/>
    <w:rsid w:val="00801BD2"/>
    <w:rsid w:val="0080209F"/>
    <w:rsid w:val="0080222E"/>
    <w:rsid w:val="00803667"/>
    <w:rsid w:val="0080436B"/>
    <w:rsid w:val="00804D41"/>
    <w:rsid w:val="00805181"/>
    <w:rsid w:val="00805CF6"/>
    <w:rsid w:val="00805DAA"/>
    <w:rsid w:val="008063BC"/>
    <w:rsid w:val="00806D4C"/>
    <w:rsid w:val="00807844"/>
    <w:rsid w:val="00807A4A"/>
    <w:rsid w:val="00807E3B"/>
    <w:rsid w:val="008113E7"/>
    <w:rsid w:val="00811B54"/>
    <w:rsid w:val="00811EB4"/>
    <w:rsid w:val="00813BDD"/>
    <w:rsid w:val="00814C73"/>
    <w:rsid w:val="008150EA"/>
    <w:rsid w:val="0081623C"/>
    <w:rsid w:val="008172EB"/>
    <w:rsid w:val="00817CC6"/>
    <w:rsid w:val="00820657"/>
    <w:rsid w:val="00820D22"/>
    <w:rsid w:val="008211B4"/>
    <w:rsid w:val="00821730"/>
    <w:rsid w:val="008252EC"/>
    <w:rsid w:val="0082561A"/>
    <w:rsid w:val="00825FAD"/>
    <w:rsid w:val="008261BB"/>
    <w:rsid w:val="0082637E"/>
    <w:rsid w:val="00826C96"/>
    <w:rsid w:val="00827A11"/>
    <w:rsid w:val="00830A78"/>
    <w:rsid w:val="00830FBD"/>
    <w:rsid w:val="00831335"/>
    <w:rsid w:val="008314AE"/>
    <w:rsid w:val="0083160F"/>
    <w:rsid w:val="00831C62"/>
    <w:rsid w:val="008337CC"/>
    <w:rsid w:val="0083407F"/>
    <w:rsid w:val="00835207"/>
    <w:rsid w:val="00836759"/>
    <w:rsid w:val="00836819"/>
    <w:rsid w:val="008378FF"/>
    <w:rsid w:val="0084035D"/>
    <w:rsid w:val="0084095F"/>
    <w:rsid w:val="00841E1D"/>
    <w:rsid w:val="00842272"/>
    <w:rsid w:val="00843635"/>
    <w:rsid w:val="00843E0E"/>
    <w:rsid w:val="00843F68"/>
    <w:rsid w:val="008477BF"/>
    <w:rsid w:val="00847B48"/>
    <w:rsid w:val="00851C8B"/>
    <w:rsid w:val="00852238"/>
    <w:rsid w:val="008533D2"/>
    <w:rsid w:val="00853412"/>
    <w:rsid w:val="00854D40"/>
    <w:rsid w:val="0085563B"/>
    <w:rsid w:val="0085608F"/>
    <w:rsid w:val="008562BC"/>
    <w:rsid w:val="00856302"/>
    <w:rsid w:val="00857823"/>
    <w:rsid w:val="0086063C"/>
    <w:rsid w:val="00860B6F"/>
    <w:rsid w:val="00861F6B"/>
    <w:rsid w:val="008622A5"/>
    <w:rsid w:val="0086245B"/>
    <w:rsid w:val="00862C8C"/>
    <w:rsid w:val="00864A34"/>
    <w:rsid w:val="00866BA8"/>
    <w:rsid w:val="008675E5"/>
    <w:rsid w:val="0087315C"/>
    <w:rsid w:val="00874F51"/>
    <w:rsid w:val="00877395"/>
    <w:rsid w:val="008835E7"/>
    <w:rsid w:val="00883916"/>
    <w:rsid w:val="00883C08"/>
    <w:rsid w:val="00883D9A"/>
    <w:rsid w:val="00884DA8"/>
    <w:rsid w:val="0088586D"/>
    <w:rsid w:val="00886F6B"/>
    <w:rsid w:val="008879AC"/>
    <w:rsid w:val="00890211"/>
    <w:rsid w:val="008903B2"/>
    <w:rsid w:val="008918FB"/>
    <w:rsid w:val="00893C93"/>
    <w:rsid w:val="00895DE2"/>
    <w:rsid w:val="00895F7D"/>
    <w:rsid w:val="008961B2"/>
    <w:rsid w:val="00896312"/>
    <w:rsid w:val="008969A6"/>
    <w:rsid w:val="0089748E"/>
    <w:rsid w:val="00897611"/>
    <w:rsid w:val="008978A1"/>
    <w:rsid w:val="008A00B8"/>
    <w:rsid w:val="008A1F6A"/>
    <w:rsid w:val="008A2497"/>
    <w:rsid w:val="008A2823"/>
    <w:rsid w:val="008A2A01"/>
    <w:rsid w:val="008A57D0"/>
    <w:rsid w:val="008A5ED5"/>
    <w:rsid w:val="008A77EA"/>
    <w:rsid w:val="008B2EB4"/>
    <w:rsid w:val="008B31F6"/>
    <w:rsid w:val="008B3383"/>
    <w:rsid w:val="008B4DA8"/>
    <w:rsid w:val="008B6E47"/>
    <w:rsid w:val="008B74B3"/>
    <w:rsid w:val="008B7E54"/>
    <w:rsid w:val="008C0197"/>
    <w:rsid w:val="008C1407"/>
    <w:rsid w:val="008C2C86"/>
    <w:rsid w:val="008C330C"/>
    <w:rsid w:val="008C33D0"/>
    <w:rsid w:val="008C4032"/>
    <w:rsid w:val="008C4DE8"/>
    <w:rsid w:val="008C537C"/>
    <w:rsid w:val="008C6982"/>
    <w:rsid w:val="008C6D07"/>
    <w:rsid w:val="008D105E"/>
    <w:rsid w:val="008D2A45"/>
    <w:rsid w:val="008D3243"/>
    <w:rsid w:val="008D3A3B"/>
    <w:rsid w:val="008D427B"/>
    <w:rsid w:val="008D5082"/>
    <w:rsid w:val="008D5184"/>
    <w:rsid w:val="008D57C6"/>
    <w:rsid w:val="008D6139"/>
    <w:rsid w:val="008D732F"/>
    <w:rsid w:val="008E0520"/>
    <w:rsid w:val="008E0E52"/>
    <w:rsid w:val="008E16D0"/>
    <w:rsid w:val="008E1B16"/>
    <w:rsid w:val="008E30D2"/>
    <w:rsid w:val="008E4E35"/>
    <w:rsid w:val="008E5E89"/>
    <w:rsid w:val="008E6AB7"/>
    <w:rsid w:val="008E74AC"/>
    <w:rsid w:val="008F093E"/>
    <w:rsid w:val="008F17C5"/>
    <w:rsid w:val="008F3DFD"/>
    <w:rsid w:val="008F519A"/>
    <w:rsid w:val="008F6113"/>
    <w:rsid w:val="00901181"/>
    <w:rsid w:val="00902A6C"/>
    <w:rsid w:val="00902F2C"/>
    <w:rsid w:val="0090331B"/>
    <w:rsid w:val="00906AB6"/>
    <w:rsid w:val="009101E3"/>
    <w:rsid w:val="0091233A"/>
    <w:rsid w:val="0091290A"/>
    <w:rsid w:val="00913CBC"/>
    <w:rsid w:val="00913EF7"/>
    <w:rsid w:val="009141F4"/>
    <w:rsid w:val="00914FAD"/>
    <w:rsid w:val="0091617B"/>
    <w:rsid w:val="009167C4"/>
    <w:rsid w:val="00917AF4"/>
    <w:rsid w:val="00921660"/>
    <w:rsid w:val="00922D60"/>
    <w:rsid w:val="009255F9"/>
    <w:rsid w:val="009265D9"/>
    <w:rsid w:val="00926764"/>
    <w:rsid w:val="0093329F"/>
    <w:rsid w:val="00933863"/>
    <w:rsid w:val="00933ABB"/>
    <w:rsid w:val="00933C67"/>
    <w:rsid w:val="00935159"/>
    <w:rsid w:val="00936A75"/>
    <w:rsid w:val="00936C24"/>
    <w:rsid w:val="009379D8"/>
    <w:rsid w:val="009400D9"/>
    <w:rsid w:val="00940578"/>
    <w:rsid w:val="009441E0"/>
    <w:rsid w:val="00944D1C"/>
    <w:rsid w:val="00944D2A"/>
    <w:rsid w:val="00950139"/>
    <w:rsid w:val="00950962"/>
    <w:rsid w:val="00950FE1"/>
    <w:rsid w:val="00951097"/>
    <w:rsid w:val="00951A0D"/>
    <w:rsid w:val="00951A1F"/>
    <w:rsid w:val="009523A5"/>
    <w:rsid w:val="009548D9"/>
    <w:rsid w:val="00955A2C"/>
    <w:rsid w:val="009569D9"/>
    <w:rsid w:val="00960368"/>
    <w:rsid w:val="009620BA"/>
    <w:rsid w:val="00962317"/>
    <w:rsid w:val="0096350E"/>
    <w:rsid w:val="00963A61"/>
    <w:rsid w:val="00963BB6"/>
    <w:rsid w:val="00963BEB"/>
    <w:rsid w:val="00965BC0"/>
    <w:rsid w:val="009666B0"/>
    <w:rsid w:val="0096753F"/>
    <w:rsid w:val="00967596"/>
    <w:rsid w:val="00970622"/>
    <w:rsid w:val="00970A00"/>
    <w:rsid w:val="00970B8B"/>
    <w:rsid w:val="00974719"/>
    <w:rsid w:val="00975756"/>
    <w:rsid w:val="00976970"/>
    <w:rsid w:val="00976C42"/>
    <w:rsid w:val="009771C7"/>
    <w:rsid w:val="009772E2"/>
    <w:rsid w:val="009772FA"/>
    <w:rsid w:val="009777A9"/>
    <w:rsid w:val="009800D5"/>
    <w:rsid w:val="0098097B"/>
    <w:rsid w:val="009811F7"/>
    <w:rsid w:val="009832EC"/>
    <w:rsid w:val="009834E4"/>
    <w:rsid w:val="009835A2"/>
    <w:rsid w:val="009836B0"/>
    <w:rsid w:val="009841A4"/>
    <w:rsid w:val="00984BBA"/>
    <w:rsid w:val="00984E0D"/>
    <w:rsid w:val="00985711"/>
    <w:rsid w:val="009860B9"/>
    <w:rsid w:val="00986231"/>
    <w:rsid w:val="00986610"/>
    <w:rsid w:val="00986C31"/>
    <w:rsid w:val="0099106B"/>
    <w:rsid w:val="00991AAA"/>
    <w:rsid w:val="009923F0"/>
    <w:rsid w:val="0099312C"/>
    <w:rsid w:val="00994B28"/>
    <w:rsid w:val="00995537"/>
    <w:rsid w:val="00996A49"/>
    <w:rsid w:val="00996EB6"/>
    <w:rsid w:val="009973D1"/>
    <w:rsid w:val="00997FC1"/>
    <w:rsid w:val="009A02D9"/>
    <w:rsid w:val="009A098F"/>
    <w:rsid w:val="009A15C5"/>
    <w:rsid w:val="009A15CE"/>
    <w:rsid w:val="009A1D54"/>
    <w:rsid w:val="009A23F7"/>
    <w:rsid w:val="009A26DF"/>
    <w:rsid w:val="009A2C69"/>
    <w:rsid w:val="009A3A61"/>
    <w:rsid w:val="009A4047"/>
    <w:rsid w:val="009A6312"/>
    <w:rsid w:val="009A69B0"/>
    <w:rsid w:val="009A6EA0"/>
    <w:rsid w:val="009A7C04"/>
    <w:rsid w:val="009B2265"/>
    <w:rsid w:val="009B2FE7"/>
    <w:rsid w:val="009B3C3C"/>
    <w:rsid w:val="009B5B3D"/>
    <w:rsid w:val="009B7A8D"/>
    <w:rsid w:val="009C4E2D"/>
    <w:rsid w:val="009D07C9"/>
    <w:rsid w:val="009D0DCA"/>
    <w:rsid w:val="009D2567"/>
    <w:rsid w:val="009D3A05"/>
    <w:rsid w:val="009D5838"/>
    <w:rsid w:val="009D5F44"/>
    <w:rsid w:val="009D5F56"/>
    <w:rsid w:val="009D5F5B"/>
    <w:rsid w:val="009D6943"/>
    <w:rsid w:val="009D775E"/>
    <w:rsid w:val="009E16CE"/>
    <w:rsid w:val="009E1AC5"/>
    <w:rsid w:val="009E1CF3"/>
    <w:rsid w:val="009E1D7E"/>
    <w:rsid w:val="009E1DBD"/>
    <w:rsid w:val="009E31C8"/>
    <w:rsid w:val="009E333F"/>
    <w:rsid w:val="009E3794"/>
    <w:rsid w:val="009E57F2"/>
    <w:rsid w:val="009E7FE6"/>
    <w:rsid w:val="009F3646"/>
    <w:rsid w:val="009F3A43"/>
    <w:rsid w:val="009F4CFF"/>
    <w:rsid w:val="009F4DA3"/>
    <w:rsid w:val="009F527F"/>
    <w:rsid w:val="009F589C"/>
    <w:rsid w:val="009F686C"/>
    <w:rsid w:val="009F69BF"/>
    <w:rsid w:val="00A0007C"/>
    <w:rsid w:val="00A00146"/>
    <w:rsid w:val="00A001DC"/>
    <w:rsid w:val="00A0040E"/>
    <w:rsid w:val="00A0378C"/>
    <w:rsid w:val="00A04047"/>
    <w:rsid w:val="00A0449E"/>
    <w:rsid w:val="00A05335"/>
    <w:rsid w:val="00A066DE"/>
    <w:rsid w:val="00A10552"/>
    <w:rsid w:val="00A12C68"/>
    <w:rsid w:val="00A13963"/>
    <w:rsid w:val="00A14919"/>
    <w:rsid w:val="00A14A6D"/>
    <w:rsid w:val="00A17391"/>
    <w:rsid w:val="00A21D24"/>
    <w:rsid w:val="00A238D5"/>
    <w:rsid w:val="00A23C18"/>
    <w:rsid w:val="00A24C9B"/>
    <w:rsid w:val="00A25566"/>
    <w:rsid w:val="00A2719A"/>
    <w:rsid w:val="00A279BA"/>
    <w:rsid w:val="00A307FE"/>
    <w:rsid w:val="00A30D30"/>
    <w:rsid w:val="00A312B7"/>
    <w:rsid w:val="00A3199F"/>
    <w:rsid w:val="00A32067"/>
    <w:rsid w:val="00A32CA1"/>
    <w:rsid w:val="00A34856"/>
    <w:rsid w:val="00A34E7F"/>
    <w:rsid w:val="00A35443"/>
    <w:rsid w:val="00A3735D"/>
    <w:rsid w:val="00A3786F"/>
    <w:rsid w:val="00A37F2B"/>
    <w:rsid w:val="00A408A8"/>
    <w:rsid w:val="00A4126F"/>
    <w:rsid w:val="00A41863"/>
    <w:rsid w:val="00A41A24"/>
    <w:rsid w:val="00A4216B"/>
    <w:rsid w:val="00A42F18"/>
    <w:rsid w:val="00A42FE9"/>
    <w:rsid w:val="00A4375B"/>
    <w:rsid w:val="00A439DC"/>
    <w:rsid w:val="00A447ED"/>
    <w:rsid w:val="00A44D0B"/>
    <w:rsid w:val="00A47536"/>
    <w:rsid w:val="00A47BB0"/>
    <w:rsid w:val="00A509C2"/>
    <w:rsid w:val="00A51D1B"/>
    <w:rsid w:val="00A528F0"/>
    <w:rsid w:val="00A54509"/>
    <w:rsid w:val="00A546C3"/>
    <w:rsid w:val="00A554DF"/>
    <w:rsid w:val="00A57113"/>
    <w:rsid w:val="00A57714"/>
    <w:rsid w:val="00A57883"/>
    <w:rsid w:val="00A57D2A"/>
    <w:rsid w:val="00A6059D"/>
    <w:rsid w:val="00A6086D"/>
    <w:rsid w:val="00A61AF5"/>
    <w:rsid w:val="00A6213B"/>
    <w:rsid w:val="00A62276"/>
    <w:rsid w:val="00A631B8"/>
    <w:rsid w:val="00A63220"/>
    <w:rsid w:val="00A639ED"/>
    <w:rsid w:val="00A63C7E"/>
    <w:rsid w:val="00A63FE0"/>
    <w:rsid w:val="00A6649F"/>
    <w:rsid w:val="00A701BA"/>
    <w:rsid w:val="00A7195D"/>
    <w:rsid w:val="00A72B07"/>
    <w:rsid w:val="00A72D37"/>
    <w:rsid w:val="00A74B5C"/>
    <w:rsid w:val="00A7519F"/>
    <w:rsid w:val="00A76CB7"/>
    <w:rsid w:val="00A778C2"/>
    <w:rsid w:val="00A80566"/>
    <w:rsid w:val="00A80B1F"/>
    <w:rsid w:val="00A810E5"/>
    <w:rsid w:val="00A821FA"/>
    <w:rsid w:val="00A83B84"/>
    <w:rsid w:val="00A84FE1"/>
    <w:rsid w:val="00A85066"/>
    <w:rsid w:val="00A853E3"/>
    <w:rsid w:val="00A90B58"/>
    <w:rsid w:val="00A9256B"/>
    <w:rsid w:val="00A92F85"/>
    <w:rsid w:val="00A953DE"/>
    <w:rsid w:val="00A95925"/>
    <w:rsid w:val="00A95CEB"/>
    <w:rsid w:val="00A95CF9"/>
    <w:rsid w:val="00A95D0F"/>
    <w:rsid w:val="00A96534"/>
    <w:rsid w:val="00A97A0B"/>
    <w:rsid w:val="00A97FB1"/>
    <w:rsid w:val="00AA007A"/>
    <w:rsid w:val="00AA0665"/>
    <w:rsid w:val="00AA0E26"/>
    <w:rsid w:val="00AA3254"/>
    <w:rsid w:val="00AA342E"/>
    <w:rsid w:val="00AA3BF8"/>
    <w:rsid w:val="00AA4019"/>
    <w:rsid w:val="00AA4FCC"/>
    <w:rsid w:val="00AA4FF4"/>
    <w:rsid w:val="00AA53F2"/>
    <w:rsid w:val="00AA6CD6"/>
    <w:rsid w:val="00AA7D6C"/>
    <w:rsid w:val="00AB0F2A"/>
    <w:rsid w:val="00AB1E5D"/>
    <w:rsid w:val="00AB2511"/>
    <w:rsid w:val="00AB260E"/>
    <w:rsid w:val="00AB282F"/>
    <w:rsid w:val="00AB29BA"/>
    <w:rsid w:val="00AB2DA4"/>
    <w:rsid w:val="00AB355A"/>
    <w:rsid w:val="00AB4FFA"/>
    <w:rsid w:val="00AB5C9B"/>
    <w:rsid w:val="00AB62F9"/>
    <w:rsid w:val="00AB776F"/>
    <w:rsid w:val="00AC0192"/>
    <w:rsid w:val="00AC1405"/>
    <w:rsid w:val="00AC2096"/>
    <w:rsid w:val="00AC2C65"/>
    <w:rsid w:val="00AC4198"/>
    <w:rsid w:val="00AC4A52"/>
    <w:rsid w:val="00AC5B72"/>
    <w:rsid w:val="00AD078C"/>
    <w:rsid w:val="00AD314A"/>
    <w:rsid w:val="00AD39C4"/>
    <w:rsid w:val="00AD4104"/>
    <w:rsid w:val="00AD5038"/>
    <w:rsid w:val="00AD621D"/>
    <w:rsid w:val="00AD63ED"/>
    <w:rsid w:val="00AD7410"/>
    <w:rsid w:val="00AD7780"/>
    <w:rsid w:val="00AE0DC0"/>
    <w:rsid w:val="00AE1FE8"/>
    <w:rsid w:val="00AE2920"/>
    <w:rsid w:val="00AE406C"/>
    <w:rsid w:val="00AE4369"/>
    <w:rsid w:val="00AE45B9"/>
    <w:rsid w:val="00AE53AE"/>
    <w:rsid w:val="00AE54AA"/>
    <w:rsid w:val="00AE565D"/>
    <w:rsid w:val="00AE6B1F"/>
    <w:rsid w:val="00AE72F6"/>
    <w:rsid w:val="00AF1454"/>
    <w:rsid w:val="00AF23E7"/>
    <w:rsid w:val="00AF2F0F"/>
    <w:rsid w:val="00AF3E98"/>
    <w:rsid w:val="00AF641B"/>
    <w:rsid w:val="00AF710F"/>
    <w:rsid w:val="00AF72A0"/>
    <w:rsid w:val="00B02BA8"/>
    <w:rsid w:val="00B04568"/>
    <w:rsid w:val="00B04BC7"/>
    <w:rsid w:val="00B04EDE"/>
    <w:rsid w:val="00B05A0A"/>
    <w:rsid w:val="00B072BE"/>
    <w:rsid w:val="00B074DB"/>
    <w:rsid w:val="00B10BC6"/>
    <w:rsid w:val="00B10D55"/>
    <w:rsid w:val="00B111F4"/>
    <w:rsid w:val="00B118FD"/>
    <w:rsid w:val="00B12E13"/>
    <w:rsid w:val="00B152F7"/>
    <w:rsid w:val="00B15DAB"/>
    <w:rsid w:val="00B177BC"/>
    <w:rsid w:val="00B20EAC"/>
    <w:rsid w:val="00B2212B"/>
    <w:rsid w:val="00B22CC7"/>
    <w:rsid w:val="00B237F3"/>
    <w:rsid w:val="00B24374"/>
    <w:rsid w:val="00B24461"/>
    <w:rsid w:val="00B244B7"/>
    <w:rsid w:val="00B24EFF"/>
    <w:rsid w:val="00B257CD"/>
    <w:rsid w:val="00B25BB1"/>
    <w:rsid w:val="00B25E38"/>
    <w:rsid w:val="00B27AED"/>
    <w:rsid w:val="00B31389"/>
    <w:rsid w:val="00B31485"/>
    <w:rsid w:val="00B32D9F"/>
    <w:rsid w:val="00B340FB"/>
    <w:rsid w:val="00B34AC1"/>
    <w:rsid w:val="00B35A17"/>
    <w:rsid w:val="00B36314"/>
    <w:rsid w:val="00B3669C"/>
    <w:rsid w:val="00B37647"/>
    <w:rsid w:val="00B37CDA"/>
    <w:rsid w:val="00B409C9"/>
    <w:rsid w:val="00B42DD7"/>
    <w:rsid w:val="00B44558"/>
    <w:rsid w:val="00B44C73"/>
    <w:rsid w:val="00B461F4"/>
    <w:rsid w:val="00B52C81"/>
    <w:rsid w:val="00B537FA"/>
    <w:rsid w:val="00B53AC2"/>
    <w:rsid w:val="00B556DB"/>
    <w:rsid w:val="00B56798"/>
    <w:rsid w:val="00B56B14"/>
    <w:rsid w:val="00B56DBA"/>
    <w:rsid w:val="00B617A5"/>
    <w:rsid w:val="00B62E2F"/>
    <w:rsid w:val="00B630F4"/>
    <w:rsid w:val="00B64314"/>
    <w:rsid w:val="00B64571"/>
    <w:rsid w:val="00B67483"/>
    <w:rsid w:val="00B701DC"/>
    <w:rsid w:val="00B70278"/>
    <w:rsid w:val="00B7072A"/>
    <w:rsid w:val="00B7171A"/>
    <w:rsid w:val="00B723C7"/>
    <w:rsid w:val="00B72816"/>
    <w:rsid w:val="00B72933"/>
    <w:rsid w:val="00B73541"/>
    <w:rsid w:val="00B7372C"/>
    <w:rsid w:val="00B760A7"/>
    <w:rsid w:val="00B76531"/>
    <w:rsid w:val="00B76776"/>
    <w:rsid w:val="00B76BCA"/>
    <w:rsid w:val="00B77479"/>
    <w:rsid w:val="00B775B5"/>
    <w:rsid w:val="00B77AD2"/>
    <w:rsid w:val="00B83D6D"/>
    <w:rsid w:val="00B84438"/>
    <w:rsid w:val="00B84643"/>
    <w:rsid w:val="00B90D1F"/>
    <w:rsid w:val="00B91981"/>
    <w:rsid w:val="00B91BF1"/>
    <w:rsid w:val="00B93BDD"/>
    <w:rsid w:val="00B94B38"/>
    <w:rsid w:val="00B95348"/>
    <w:rsid w:val="00B966CF"/>
    <w:rsid w:val="00BA088B"/>
    <w:rsid w:val="00BA1E10"/>
    <w:rsid w:val="00BA253A"/>
    <w:rsid w:val="00BA2AC1"/>
    <w:rsid w:val="00BA3CBE"/>
    <w:rsid w:val="00BA3FFB"/>
    <w:rsid w:val="00BA4105"/>
    <w:rsid w:val="00BA4B58"/>
    <w:rsid w:val="00BA5803"/>
    <w:rsid w:val="00BA743D"/>
    <w:rsid w:val="00BB3535"/>
    <w:rsid w:val="00BB3DBE"/>
    <w:rsid w:val="00BB51A2"/>
    <w:rsid w:val="00BB6243"/>
    <w:rsid w:val="00BB646B"/>
    <w:rsid w:val="00BB68DE"/>
    <w:rsid w:val="00BB7140"/>
    <w:rsid w:val="00BB7723"/>
    <w:rsid w:val="00BC1425"/>
    <w:rsid w:val="00BC210E"/>
    <w:rsid w:val="00BC285C"/>
    <w:rsid w:val="00BC2EA7"/>
    <w:rsid w:val="00BC38C1"/>
    <w:rsid w:val="00BC48FD"/>
    <w:rsid w:val="00BC6660"/>
    <w:rsid w:val="00BC7956"/>
    <w:rsid w:val="00BD2F8B"/>
    <w:rsid w:val="00BD4433"/>
    <w:rsid w:val="00BD4FAA"/>
    <w:rsid w:val="00BD581E"/>
    <w:rsid w:val="00BD7660"/>
    <w:rsid w:val="00BE01F6"/>
    <w:rsid w:val="00BE0D84"/>
    <w:rsid w:val="00BE40BB"/>
    <w:rsid w:val="00BE42FD"/>
    <w:rsid w:val="00BE567B"/>
    <w:rsid w:val="00BF2332"/>
    <w:rsid w:val="00BF3EB3"/>
    <w:rsid w:val="00BF4A75"/>
    <w:rsid w:val="00BF5F3B"/>
    <w:rsid w:val="00BF60B8"/>
    <w:rsid w:val="00BF6105"/>
    <w:rsid w:val="00BF6C52"/>
    <w:rsid w:val="00BF71CC"/>
    <w:rsid w:val="00C02501"/>
    <w:rsid w:val="00C03B9C"/>
    <w:rsid w:val="00C043D9"/>
    <w:rsid w:val="00C05380"/>
    <w:rsid w:val="00C06A3A"/>
    <w:rsid w:val="00C07037"/>
    <w:rsid w:val="00C1038B"/>
    <w:rsid w:val="00C107BF"/>
    <w:rsid w:val="00C10B93"/>
    <w:rsid w:val="00C147B7"/>
    <w:rsid w:val="00C15B36"/>
    <w:rsid w:val="00C164C7"/>
    <w:rsid w:val="00C1714C"/>
    <w:rsid w:val="00C204E5"/>
    <w:rsid w:val="00C20CA6"/>
    <w:rsid w:val="00C21873"/>
    <w:rsid w:val="00C21A59"/>
    <w:rsid w:val="00C2324B"/>
    <w:rsid w:val="00C235C2"/>
    <w:rsid w:val="00C24631"/>
    <w:rsid w:val="00C26EFD"/>
    <w:rsid w:val="00C272C2"/>
    <w:rsid w:val="00C275FE"/>
    <w:rsid w:val="00C2797A"/>
    <w:rsid w:val="00C3046B"/>
    <w:rsid w:val="00C33200"/>
    <w:rsid w:val="00C33461"/>
    <w:rsid w:val="00C34AE2"/>
    <w:rsid w:val="00C34CC1"/>
    <w:rsid w:val="00C35604"/>
    <w:rsid w:val="00C35798"/>
    <w:rsid w:val="00C36236"/>
    <w:rsid w:val="00C37692"/>
    <w:rsid w:val="00C405B9"/>
    <w:rsid w:val="00C40C4A"/>
    <w:rsid w:val="00C42554"/>
    <w:rsid w:val="00C4310D"/>
    <w:rsid w:val="00C431A6"/>
    <w:rsid w:val="00C4355B"/>
    <w:rsid w:val="00C442C8"/>
    <w:rsid w:val="00C442EE"/>
    <w:rsid w:val="00C45595"/>
    <w:rsid w:val="00C45D69"/>
    <w:rsid w:val="00C46995"/>
    <w:rsid w:val="00C47017"/>
    <w:rsid w:val="00C47BA3"/>
    <w:rsid w:val="00C50AAA"/>
    <w:rsid w:val="00C5217B"/>
    <w:rsid w:val="00C526BF"/>
    <w:rsid w:val="00C52EA1"/>
    <w:rsid w:val="00C54A46"/>
    <w:rsid w:val="00C54E5E"/>
    <w:rsid w:val="00C57766"/>
    <w:rsid w:val="00C62C85"/>
    <w:rsid w:val="00C64D76"/>
    <w:rsid w:val="00C66AC8"/>
    <w:rsid w:val="00C671E9"/>
    <w:rsid w:val="00C679FF"/>
    <w:rsid w:val="00C67BE4"/>
    <w:rsid w:val="00C70105"/>
    <w:rsid w:val="00C7051C"/>
    <w:rsid w:val="00C71BFC"/>
    <w:rsid w:val="00C72D2D"/>
    <w:rsid w:val="00C72DDC"/>
    <w:rsid w:val="00C72E5D"/>
    <w:rsid w:val="00C74824"/>
    <w:rsid w:val="00C7583D"/>
    <w:rsid w:val="00C765B1"/>
    <w:rsid w:val="00C768B6"/>
    <w:rsid w:val="00C77E3A"/>
    <w:rsid w:val="00C8137E"/>
    <w:rsid w:val="00C8139B"/>
    <w:rsid w:val="00C82E81"/>
    <w:rsid w:val="00C83540"/>
    <w:rsid w:val="00C83D2A"/>
    <w:rsid w:val="00C83D5B"/>
    <w:rsid w:val="00C85306"/>
    <w:rsid w:val="00C85B5B"/>
    <w:rsid w:val="00C86EE9"/>
    <w:rsid w:val="00C87B24"/>
    <w:rsid w:val="00C90564"/>
    <w:rsid w:val="00C90AAE"/>
    <w:rsid w:val="00C91053"/>
    <w:rsid w:val="00C92467"/>
    <w:rsid w:val="00C93471"/>
    <w:rsid w:val="00C946BC"/>
    <w:rsid w:val="00C95A76"/>
    <w:rsid w:val="00C97F76"/>
    <w:rsid w:val="00CA001F"/>
    <w:rsid w:val="00CA0FA8"/>
    <w:rsid w:val="00CA1F85"/>
    <w:rsid w:val="00CA2E8B"/>
    <w:rsid w:val="00CA4C2C"/>
    <w:rsid w:val="00CA542A"/>
    <w:rsid w:val="00CA6463"/>
    <w:rsid w:val="00CA6688"/>
    <w:rsid w:val="00CA77AE"/>
    <w:rsid w:val="00CA7B31"/>
    <w:rsid w:val="00CB056A"/>
    <w:rsid w:val="00CB085B"/>
    <w:rsid w:val="00CB0C21"/>
    <w:rsid w:val="00CB1594"/>
    <w:rsid w:val="00CB2164"/>
    <w:rsid w:val="00CB4D53"/>
    <w:rsid w:val="00CB56D4"/>
    <w:rsid w:val="00CC0057"/>
    <w:rsid w:val="00CC1FCD"/>
    <w:rsid w:val="00CC3D89"/>
    <w:rsid w:val="00CC495E"/>
    <w:rsid w:val="00CC5F29"/>
    <w:rsid w:val="00CC6D8A"/>
    <w:rsid w:val="00CC7B4D"/>
    <w:rsid w:val="00CC7C83"/>
    <w:rsid w:val="00CC7D6F"/>
    <w:rsid w:val="00CC7DE0"/>
    <w:rsid w:val="00CD2225"/>
    <w:rsid w:val="00CD2C63"/>
    <w:rsid w:val="00CD42F6"/>
    <w:rsid w:val="00CD4F8A"/>
    <w:rsid w:val="00CD7543"/>
    <w:rsid w:val="00CE09D2"/>
    <w:rsid w:val="00CE19B8"/>
    <w:rsid w:val="00CE21EE"/>
    <w:rsid w:val="00CE2CC0"/>
    <w:rsid w:val="00CE344C"/>
    <w:rsid w:val="00CE3783"/>
    <w:rsid w:val="00CE3F82"/>
    <w:rsid w:val="00CE68B8"/>
    <w:rsid w:val="00CE6E2B"/>
    <w:rsid w:val="00CE753D"/>
    <w:rsid w:val="00CE7631"/>
    <w:rsid w:val="00CF000D"/>
    <w:rsid w:val="00CF08DC"/>
    <w:rsid w:val="00CF1ACC"/>
    <w:rsid w:val="00CF215D"/>
    <w:rsid w:val="00CF4206"/>
    <w:rsid w:val="00CF4D30"/>
    <w:rsid w:val="00CF5B1F"/>
    <w:rsid w:val="00CF6545"/>
    <w:rsid w:val="00CF7B3C"/>
    <w:rsid w:val="00D00510"/>
    <w:rsid w:val="00D0075C"/>
    <w:rsid w:val="00D00A9A"/>
    <w:rsid w:val="00D027DE"/>
    <w:rsid w:val="00D035CE"/>
    <w:rsid w:val="00D03CC6"/>
    <w:rsid w:val="00D03F3F"/>
    <w:rsid w:val="00D04004"/>
    <w:rsid w:val="00D04097"/>
    <w:rsid w:val="00D0447A"/>
    <w:rsid w:val="00D04864"/>
    <w:rsid w:val="00D0542E"/>
    <w:rsid w:val="00D057D2"/>
    <w:rsid w:val="00D05ADE"/>
    <w:rsid w:val="00D066B8"/>
    <w:rsid w:val="00D06F18"/>
    <w:rsid w:val="00D07E24"/>
    <w:rsid w:val="00D07FBB"/>
    <w:rsid w:val="00D10176"/>
    <w:rsid w:val="00D108C9"/>
    <w:rsid w:val="00D10EFB"/>
    <w:rsid w:val="00D12764"/>
    <w:rsid w:val="00D1283B"/>
    <w:rsid w:val="00D12B4F"/>
    <w:rsid w:val="00D12E73"/>
    <w:rsid w:val="00D13AFF"/>
    <w:rsid w:val="00D13E51"/>
    <w:rsid w:val="00D154E8"/>
    <w:rsid w:val="00D17DF1"/>
    <w:rsid w:val="00D20BDC"/>
    <w:rsid w:val="00D2248F"/>
    <w:rsid w:val="00D23BB5"/>
    <w:rsid w:val="00D245E2"/>
    <w:rsid w:val="00D256A4"/>
    <w:rsid w:val="00D266AD"/>
    <w:rsid w:val="00D26FAF"/>
    <w:rsid w:val="00D2778A"/>
    <w:rsid w:val="00D328BA"/>
    <w:rsid w:val="00D34A34"/>
    <w:rsid w:val="00D36EB3"/>
    <w:rsid w:val="00D4041A"/>
    <w:rsid w:val="00D42909"/>
    <w:rsid w:val="00D440F4"/>
    <w:rsid w:val="00D467EA"/>
    <w:rsid w:val="00D467FC"/>
    <w:rsid w:val="00D47509"/>
    <w:rsid w:val="00D47A60"/>
    <w:rsid w:val="00D50115"/>
    <w:rsid w:val="00D505B0"/>
    <w:rsid w:val="00D51A54"/>
    <w:rsid w:val="00D51DCA"/>
    <w:rsid w:val="00D5216C"/>
    <w:rsid w:val="00D52B72"/>
    <w:rsid w:val="00D538A5"/>
    <w:rsid w:val="00D53F0D"/>
    <w:rsid w:val="00D5458C"/>
    <w:rsid w:val="00D5467D"/>
    <w:rsid w:val="00D54FE7"/>
    <w:rsid w:val="00D55040"/>
    <w:rsid w:val="00D559C2"/>
    <w:rsid w:val="00D626F1"/>
    <w:rsid w:val="00D63EBE"/>
    <w:rsid w:val="00D649F0"/>
    <w:rsid w:val="00D65BA6"/>
    <w:rsid w:val="00D66FB3"/>
    <w:rsid w:val="00D6774C"/>
    <w:rsid w:val="00D7007F"/>
    <w:rsid w:val="00D72C80"/>
    <w:rsid w:val="00D73668"/>
    <w:rsid w:val="00D739C6"/>
    <w:rsid w:val="00D75637"/>
    <w:rsid w:val="00D768B0"/>
    <w:rsid w:val="00D77A91"/>
    <w:rsid w:val="00D831E0"/>
    <w:rsid w:val="00D837DD"/>
    <w:rsid w:val="00D8389F"/>
    <w:rsid w:val="00D904FE"/>
    <w:rsid w:val="00D9159B"/>
    <w:rsid w:val="00D929F6"/>
    <w:rsid w:val="00D93378"/>
    <w:rsid w:val="00D93A02"/>
    <w:rsid w:val="00D94A69"/>
    <w:rsid w:val="00D954B3"/>
    <w:rsid w:val="00D95B74"/>
    <w:rsid w:val="00D966F2"/>
    <w:rsid w:val="00D96D58"/>
    <w:rsid w:val="00D97F80"/>
    <w:rsid w:val="00DA1611"/>
    <w:rsid w:val="00DA1FE9"/>
    <w:rsid w:val="00DA36C7"/>
    <w:rsid w:val="00DB065B"/>
    <w:rsid w:val="00DB089D"/>
    <w:rsid w:val="00DB0BE9"/>
    <w:rsid w:val="00DB17F5"/>
    <w:rsid w:val="00DB34DE"/>
    <w:rsid w:val="00DB52C7"/>
    <w:rsid w:val="00DB5677"/>
    <w:rsid w:val="00DB5ED0"/>
    <w:rsid w:val="00DB6325"/>
    <w:rsid w:val="00DB7194"/>
    <w:rsid w:val="00DC62EF"/>
    <w:rsid w:val="00DC6B05"/>
    <w:rsid w:val="00DD03CF"/>
    <w:rsid w:val="00DD0C21"/>
    <w:rsid w:val="00DD263B"/>
    <w:rsid w:val="00DD2B33"/>
    <w:rsid w:val="00DD2DC2"/>
    <w:rsid w:val="00DD3E0A"/>
    <w:rsid w:val="00DD45E3"/>
    <w:rsid w:val="00DD4BF2"/>
    <w:rsid w:val="00DD625A"/>
    <w:rsid w:val="00DD6498"/>
    <w:rsid w:val="00DD68C5"/>
    <w:rsid w:val="00DD6C6F"/>
    <w:rsid w:val="00DD6E06"/>
    <w:rsid w:val="00DD7B82"/>
    <w:rsid w:val="00DE0CBE"/>
    <w:rsid w:val="00DE0F20"/>
    <w:rsid w:val="00DE12BC"/>
    <w:rsid w:val="00DE18F6"/>
    <w:rsid w:val="00DE1DD8"/>
    <w:rsid w:val="00DE272E"/>
    <w:rsid w:val="00DE2A3F"/>
    <w:rsid w:val="00DE339C"/>
    <w:rsid w:val="00DE3AE1"/>
    <w:rsid w:val="00DE63DA"/>
    <w:rsid w:val="00DE6A1A"/>
    <w:rsid w:val="00DE7252"/>
    <w:rsid w:val="00DF0E84"/>
    <w:rsid w:val="00DF2701"/>
    <w:rsid w:val="00DF2788"/>
    <w:rsid w:val="00DF4289"/>
    <w:rsid w:val="00DF45D5"/>
    <w:rsid w:val="00DF5EA2"/>
    <w:rsid w:val="00DF693A"/>
    <w:rsid w:val="00DF6EC2"/>
    <w:rsid w:val="00E01992"/>
    <w:rsid w:val="00E01D52"/>
    <w:rsid w:val="00E021D1"/>
    <w:rsid w:val="00E06F71"/>
    <w:rsid w:val="00E07B9F"/>
    <w:rsid w:val="00E105A6"/>
    <w:rsid w:val="00E10787"/>
    <w:rsid w:val="00E11044"/>
    <w:rsid w:val="00E11763"/>
    <w:rsid w:val="00E12569"/>
    <w:rsid w:val="00E13009"/>
    <w:rsid w:val="00E13247"/>
    <w:rsid w:val="00E13427"/>
    <w:rsid w:val="00E13B35"/>
    <w:rsid w:val="00E15111"/>
    <w:rsid w:val="00E17BF3"/>
    <w:rsid w:val="00E22B9B"/>
    <w:rsid w:val="00E24C97"/>
    <w:rsid w:val="00E24EB7"/>
    <w:rsid w:val="00E254B9"/>
    <w:rsid w:val="00E26E1D"/>
    <w:rsid w:val="00E27FB9"/>
    <w:rsid w:val="00E30DF8"/>
    <w:rsid w:val="00E31312"/>
    <w:rsid w:val="00E34CAD"/>
    <w:rsid w:val="00E37AAC"/>
    <w:rsid w:val="00E401DD"/>
    <w:rsid w:val="00E40A15"/>
    <w:rsid w:val="00E414D1"/>
    <w:rsid w:val="00E41B1C"/>
    <w:rsid w:val="00E42473"/>
    <w:rsid w:val="00E424FD"/>
    <w:rsid w:val="00E44165"/>
    <w:rsid w:val="00E461AE"/>
    <w:rsid w:val="00E46A3F"/>
    <w:rsid w:val="00E520B5"/>
    <w:rsid w:val="00E528F3"/>
    <w:rsid w:val="00E529C8"/>
    <w:rsid w:val="00E530B7"/>
    <w:rsid w:val="00E53EEB"/>
    <w:rsid w:val="00E54BF6"/>
    <w:rsid w:val="00E564DE"/>
    <w:rsid w:val="00E570C5"/>
    <w:rsid w:val="00E575C8"/>
    <w:rsid w:val="00E57B2E"/>
    <w:rsid w:val="00E6070A"/>
    <w:rsid w:val="00E60E8B"/>
    <w:rsid w:val="00E61587"/>
    <w:rsid w:val="00E62C43"/>
    <w:rsid w:val="00E62CB6"/>
    <w:rsid w:val="00E62F18"/>
    <w:rsid w:val="00E64970"/>
    <w:rsid w:val="00E64B76"/>
    <w:rsid w:val="00E64F4D"/>
    <w:rsid w:val="00E65441"/>
    <w:rsid w:val="00E65864"/>
    <w:rsid w:val="00E66058"/>
    <w:rsid w:val="00E67004"/>
    <w:rsid w:val="00E700CE"/>
    <w:rsid w:val="00E72583"/>
    <w:rsid w:val="00E72E4E"/>
    <w:rsid w:val="00E751FB"/>
    <w:rsid w:val="00E75DDE"/>
    <w:rsid w:val="00E76FCA"/>
    <w:rsid w:val="00E7777B"/>
    <w:rsid w:val="00E8112A"/>
    <w:rsid w:val="00E81C74"/>
    <w:rsid w:val="00E826C0"/>
    <w:rsid w:val="00E85FA6"/>
    <w:rsid w:val="00E8667D"/>
    <w:rsid w:val="00E86D5E"/>
    <w:rsid w:val="00E92482"/>
    <w:rsid w:val="00E92E83"/>
    <w:rsid w:val="00E92F77"/>
    <w:rsid w:val="00E933E0"/>
    <w:rsid w:val="00E93566"/>
    <w:rsid w:val="00E93BE1"/>
    <w:rsid w:val="00E94BE2"/>
    <w:rsid w:val="00E9569A"/>
    <w:rsid w:val="00E96101"/>
    <w:rsid w:val="00E96675"/>
    <w:rsid w:val="00E976AA"/>
    <w:rsid w:val="00EA0B2B"/>
    <w:rsid w:val="00EA1330"/>
    <w:rsid w:val="00EA1B0E"/>
    <w:rsid w:val="00EA3A34"/>
    <w:rsid w:val="00EA4D21"/>
    <w:rsid w:val="00EA5591"/>
    <w:rsid w:val="00EA70F6"/>
    <w:rsid w:val="00EA760C"/>
    <w:rsid w:val="00EB1AF4"/>
    <w:rsid w:val="00EB22BF"/>
    <w:rsid w:val="00EB3346"/>
    <w:rsid w:val="00EB3714"/>
    <w:rsid w:val="00EB4BD5"/>
    <w:rsid w:val="00EB5A10"/>
    <w:rsid w:val="00EB5BDD"/>
    <w:rsid w:val="00EB5F7B"/>
    <w:rsid w:val="00EB66E2"/>
    <w:rsid w:val="00EB7772"/>
    <w:rsid w:val="00EB7D33"/>
    <w:rsid w:val="00EC10EF"/>
    <w:rsid w:val="00EC16B7"/>
    <w:rsid w:val="00EC23CA"/>
    <w:rsid w:val="00EC2CA9"/>
    <w:rsid w:val="00EC2DEE"/>
    <w:rsid w:val="00EC420F"/>
    <w:rsid w:val="00EC5EA3"/>
    <w:rsid w:val="00EC6279"/>
    <w:rsid w:val="00EC6744"/>
    <w:rsid w:val="00ED14A8"/>
    <w:rsid w:val="00ED1863"/>
    <w:rsid w:val="00ED2B22"/>
    <w:rsid w:val="00ED2C63"/>
    <w:rsid w:val="00ED6BCB"/>
    <w:rsid w:val="00ED74DA"/>
    <w:rsid w:val="00ED7FE2"/>
    <w:rsid w:val="00ED7FFA"/>
    <w:rsid w:val="00EE3CC8"/>
    <w:rsid w:val="00EE42A3"/>
    <w:rsid w:val="00EE4566"/>
    <w:rsid w:val="00EE5D53"/>
    <w:rsid w:val="00EE663F"/>
    <w:rsid w:val="00EE7807"/>
    <w:rsid w:val="00EF0288"/>
    <w:rsid w:val="00EF1C3A"/>
    <w:rsid w:val="00EF2747"/>
    <w:rsid w:val="00EF3E10"/>
    <w:rsid w:val="00EF4060"/>
    <w:rsid w:val="00EF414C"/>
    <w:rsid w:val="00EF4FA3"/>
    <w:rsid w:val="00EF52E6"/>
    <w:rsid w:val="00EF615F"/>
    <w:rsid w:val="00EF6E8C"/>
    <w:rsid w:val="00EF704A"/>
    <w:rsid w:val="00EF7542"/>
    <w:rsid w:val="00F01352"/>
    <w:rsid w:val="00F018E9"/>
    <w:rsid w:val="00F03655"/>
    <w:rsid w:val="00F03A2A"/>
    <w:rsid w:val="00F04379"/>
    <w:rsid w:val="00F048B6"/>
    <w:rsid w:val="00F0496E"/>
    <w:rsid w:val="00F0534A"/>
    <w:rsid w:val="00F10DD7"/>
    <w:rsid w:val="00F11729"/>
    <w:rsid w:val="00F119DC"/>
    <w:rsid w:val="00F15834"/>
    <w:rsid w:val="00F15CC5"/>
    <w:rsid w:val="00F16897"/>
    <w:rsid w:val="00F1741C"/>
    <w:rsid w:val="00F17C52"/>
    <w:rsid w:val="00F2037B"/>
    <w:rsid w:val="00F2058C"/>
    <w:rsid w:val="00F207E9"/>
    <w:rsid w:val="00F208B2"/>
    <w:rsid w:val="00F20ABD"/>
    <w:rsid w:val="00F216EF"/>
    <w:rsid w:val="00F2205F"/>
    <w:rsid w:val="00F222E6"/>
    <w:rsid w:val="00F2276D"/>
    <w:rsid w:val="00F22A16"/>
    <w:rsid w:val="00F24096"/>
    <w:rsid w:val="00F32002"/>
    <w:rsid w:val="00F33721"/>
    <w:rsid w:val="00F337B6"/>
    <w:rsid w:val="00F33885"/>
    <w:rsid w:val="00F35550"/>
    <w:rsid w:val="00F35ABD"/>
    <w:rsid w:val="00F36541"/>
    <w:rsid w:val="00F368C0"/>
    <w:rsid w:val="00F36EBA"/>
    <w:rsid w:val="00F37763"/>
    <w:rsid w:val="00F400A1"/>
    <w:rsid w:val="00F42142"/>
    <w:rsid w:val="00F42E7A"/>
    <w:rsid w:val="00F44241"/>
    <w:rsid w:val="00F446A5"/>
    <w:rsid w:val="00F44E5E"/>
    <w:rsid w:val="00F4701B"/>
    <w:rsid w:val="00F50808"/>
    <w:rsid w:val="00F50F17"/>
    <w:rsid w:val="00F52FB0"/>
    <w:rsid w:val="00F549D9"/>
    <w:rsid w:val="00F54D38"/>
    <w:rsid w:val="00F55B08"/>
    <w:rsid w:val="00F55DE7"/>
    <w:rsid w:val="00F561D1"/>
    <w:rsid w:val="00F56DFA"/>
    <w:rsid w:val="00F60F54"/>
    <w:rsid w:val="00F6104E"/>
    <w:rsid w:val="00F6273D"/>
    <w:rsid w:val="00F62AF1"/>
    <w:rsid w:val="00F62FA3"/>
    <w:rsid w:val="00F63647"/>
    <w:rsid w:val="00F63B23"/>
    <w:rsid w:val="00F6582D"/>
    <w:rsid w:val="00F66D93"/>
    <w:rsid w:val="00F67921"/>
    <w:rsid w:val="00F7284D"/>
    <w:rsid w:val="00F74F2D"/>
    <w:rsid w:val="00F75083"/>
    <w:rsid w:val="00F767E9"/>
    <w:rsid w:val="00F773DA"/>
    <w:rsid w:val="00F8110C"/>
    <w:rsid w:val="00F816B7"/>
    <w:rsid w:val="00F82B90"/>
    <w:rsid w:val="00F83369"/>
    <w:rsid w:val="00F835AD"/>
    <w:rsid w:val="00F8373B"/>
    <w:rsid w:val="00F84AC7"/>
    <w:rsid w:val="00F84DEB"/>
    <w:rsid w:val="00F850ED"/>
    <w:rsid w:val="00F87292"/>
    <w:rsid w:val="00F91413"/>
    <w:rsid w:val="00F91820"/>
    <w:rsid w:val="00F92F54"/>
    <w:rsid w:val="00F93A51"/>
    <w:rsid w:val="00F93F8E"/>
    <w:rsid w:val="00F963BC"/>
    <w:rsid w:val="00F96B3B"/>
    <w:rsid w:val="00F97BA4"/>
    <w:rsid w:val="00FA051C"/>
    <w:rsid w:val="00FA34AD"/>
    <w:rsid w:val="00FA5F97"/>
    <w:rsid w:val="00FA7769"/>
    <w:rsid w:val="00FA7F54"/>
    <w:rsid w:val="00FB05C8"/>
    <w:rsid w:val="00FB0C57"/>
    <w:rsid w:val="00FB180D"/>
    <w:rsid w:val="00FB1F80"/>
    <w:rsid w:val="00FB2285"/>
    <w:rsid w:val="00FB2847"/>
    <w:rsid w:val="00FB34D4"/>
    <w:rsid w:val="00FB50CE"/>
    <w:rsid w:val="00FB6338"/>
    <w:rsid w:val="00FB6968"/>
    <w:rsid w:val="00FB6E84"/>
    <w:rsid w:val="00FB7EDE"/>
    <w:rsid w:val="00FC05EB"/>
    <w:rsid w:val="00FC1B30"/>
    <w:rsid w:val="00FC238D"/>
    <w:rsid w:val="00FC3325"/>
    <w:rsid w:val="00FC3EAA"/>
    <w:rsid w:val="00FC432D"/>
    <w:rsid w:val="00FC55A3"/>
    <w:rsid w:val="00FC6A5F"/>
    <w:rsid w:val="00FD11F2"/>
    <w:rsid w:val="00FD1966"/>
    <w:rsid w:val="00FD2520"/>
    <w:rsid w:val="00FD266D"/>
    <w:rsid w:val="00FD3E9A"/>
    <w:rsid w:val="00FD5540"/>
    <w:rsid w:val="00FD63A2"/>
    <w:rsid w:val="00FD6451"/>
    <w:rsid w:val="00FD69C1"/>
    <w:rsid w:val="00FD7556"/>
    <w:rsid w:val="00FD7CFD"/>
    <w:rsid w:val="00FE04C0"/>
    <w:rsid w:val="00FE0F43"/>
    <w:rsid w:val="00FE28BC"/>
    <w:rsid w:val="00FE2A0E"/>
    <w:rsid w:val="00FE2D8F"/>
    <w:rsid w:val="00FE3819"/>
    <w:rsid w:val="00FE4E92"/>
    <w:rsid w:val="00FE5775"/>
    <w:rsid w:val="00FE6754"/>
    <w:rsid w:val="00FE6BE4"/>
    <w:rsid w:val="00FE7227"/>
    <w:rsid w:val="00FE7B10"/>
    <w:rsid w:val="00FF01B5"/>
    <w:rsid w:val="00FF02FC"/>
    <w:rsid w:val="00FF121A"/>
    <w:rsid w:val="00FF1606"/>
    <w:rsid w:val="00FF2F53"/>
    <w:rsid w:val="00FF32D9"/>
    <w:rsid w:val="00FF40FB"/>
    <w:rsid w:val="00FF48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0F61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8150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8150EA"/>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D546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F61C9"/>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8150EA"/>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8150EA"/>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D5467D"/>
    <w:rPr>
      <w:rFonts w:asciiTheme="majorHAnsi" w:eastAsiaTheme="majorEastAsia" w:hAnsiTheme="majorHAnsi" w:cstheme="majorBidi"/>
      <w:b/>
      <w:bCs/>
      <w:i/>
      <w:iCs/>
      <w:color w:val="4F81BD" w:themeColor="accent1"/>
    </w:rPr>
  </w:style>
  <w:style w:type="paragraph" w:styleId="Odlomakpopisa">
    <w:name w:val="List Paragraph"/>
    <w:basedOn w:val="Normal"/>
    <w:uiPriority w:val="34"/>
    <w:qFormat/>
    <w:rsid w:val="0040350D"/>
    <w:pPr>
      <w:ind w:left="720"/>
      <w:contextualSpacing/>
    </w:pPr>
  </w:style>
  <w:style w:type="paragraph" w:styleId="Tekstbalonia">
    <w:name w:val="Balloon Text"/>
    <w:basedOn w:val="Normal"/>
    <w:link w:val="TekstbaloniaChar"/>
    <w:uiPriority w:val="99"/>
    <w:semiHidden/>
    <w:unhideWhenUsed/>
    <w:rsid w:val="00B56DB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56DBA"/>
    <w:rPr>
      <w:rFonts w:ascii="Tahoma" w:hAnsi="Tahoma" w:cs="Tahoma"/>
      <w:sz w:val="16"/>
      <w:szCs w:val="16"/>
    </w:rPr>
  </w:style>
  <w:style w:type="character" w:styleId="Naglaeno">
    <w:name w:val="Strong"/>
    <w:basedOn w:val="Zadanifontodlomka"/>
    <w:uiPriority w:val="22"/>
    <w:qFormat/>
    <w:rsid w:val="00803667"/>
    <w:rPr>
      <w:b/>
      <w:bCs/>
    </w:rPr>
  </w:style>
  <w:style w:type="character" w:styleId="Hiperveza">
    <w:name w:val="Hyperlink"/>
    <w:basedOn w:val="Zadanifontodlomka"/>
    <w:uiPriority w:val="99"/>
    <w:unhideWhenUsed/>
    <w:rsid w:val="00CE2CC0"/>
    <w:rPr>
      <w:strike w:val="0"/>
      <w:dstrike w:val="0"/>
      <w:color w:val="003982"/>
      <w:u w:val="none"/>
      <w:effect w:val="none"/>
    </w:rPr>
  </w:style>
  <w:style w:type="paragraph" w:styleId="Tekstfusnote">
    <w:name w:val="footnote text"/>
    <w:basedOn w:val="Normal"/>
    <w:link w:val="TekstfusnoteChar"/>
    <w:uiPriority w:val="99"/>
    <w:semiHidden/>
    <w:unhideWhenUsed/>
    <w:rsid w:val="00315F7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15F7B"/>
    <w:rPr>
      <w:sz w:val="20"/>
      <w:szCs w:val="20"/>
    </w:rPr>
  </w:style>
  <w:style w:type="character" w:styleId="Referencafusnote">
    <w:name w:val="footnote reference"/>
    <w:basedOn w:val="Zadanifontodlomka"/>
    <w:uiPriority w:val="99"/>
    <w:semiHidden/>
    <w:unhideWhenUsed/>
    <w:rsid w:val="00315F7B"/>
    <w:rPr>
      <w:vertAlign w:val="superscript"/>
    </w:rPr>
  </w:style>
  <w:style w:type="paragraph" w:styleId="Zaglavlje">
    <w:name w:val="header"/>
    <w:basedOn w:val="Normal"/>
    <w:link w:val="ZaglavljeChar"/>
    <w:uiPriority w:val="99"/>
    <w:unhideWhenUsed/>
    <w:rsid w:val="00D904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904FE"/>
  </w:style>
  <w:style w:type="paragraph" w:styleId="Podnoje">
    <w:name w:val="footer"/>
    <w:basedOn w:val="Normal"/>
    <w:link w:val="PodnojeChar"/>
    <w:uiPriority w:val="99"/>
    <w:unhideWhenUsed/>
    <w:rsid w:val="00D904F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904FE"/>
  </w:style>
  <w:style w:type="paragraph" w:styleId="Sadraj1">
    <w:name w:val="toc 1"/>
    <w:basedOn w:val="Normal"/>
    <w:next w:val="Normal"/>
    <w:autoRedefine/>
    <w:uiPriority w:val="39"/>
    <w:unhideWhenUsed/>
    <w:rsid w:val="000D0271"/>
    <w:pPr>
      <w:spacing w:after="100"/>
    </w:pPr>
  </w:style>
  <w:style w:type="paragraph" w:styleId="Sadraj2">
    <w:name w:val="toc 2"/>
    <w:basedOn w:val="Normal"/>
    <w:next w:val="Normal"/>
    <w:autoRedefine/>
    <w:uiPriority w:val="39"/>
    <w:unhideWhenUsed/>
    <w:rsid w:val="000D0271"/>
    <w:pPr>
      <w:spacing w:after="100"/>
      <w:ind w:left="220"/>
    </w:pPr>
  </w:style>
  <w:style w:type="paragraph" w:styleId="Sadraj3">
    <w:name w:val="toc 3"/>
    <w:basedOn w:val="Normal"/>
    <w:next w:val="Normal"/>
    <w:autoRedefine/>
    <w:uiPriority w:val="39"/>
    <w:unhideWhenUsed/>
    <w:rsid w:val="000D0271"/>
    <w:pPr>
      <w:spacing w:after="100"/>
      <w:ind w:left="440"/>
    </w:pPr>
  </w:style>
  <w:style w:type="paragraph" w:customStyle="1" w:styleId="Default">
    <w:name w:val="Default"/>
    <w:rsid w:val="00736949"/>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E13247"/>
    <w:rPr>
      <w:sz w:val="16"/>
      <w:szCs w:val="16"/>
    </w:rPr>
  </w:style>
  <w:style w:type="paragraph" w:styleId="Tekstkomentara">
    <w:name w:val="annotation text"/>
    <w:basedOn w:val="Normal"/>
    <w:link w:val="TekstkomentaraChar"/>
    <w:uiPriority w:val="99"/>
    <w:semiHidden/>
    <w:unhideWhenUsed/>
    <w:rsid w:val="00E13247"/>
    <w:pPr>
      <w:spacing w:line="240" w:lineRule="auto"/>
    </w:pPr>
    <w:rPr>
      <w:sz w:val="20"/>
      <w:szCs w:val="20"/>
    </w:rPr>
  </w:style>
  <w:style w:type="character" w:customStyle="1" w:styleId="TekstkomentaraChar">
    <w:name w:val="Tekst komentara Char"/>
    <w:basedOn w:val="Zadanifontodlomka"/>
    <w:link w:val="Tekstkomentara"/>
    <w:uiPriority w:val="99"/>
    <w:semiHidden/>
    <w:rsid w:val="00E13247"/>
    <w:rPr>
      <w:sz w:val="20"/>
      <w:szCs w:val="20"/>
    </w:rPr>
  </w:style>
  <w:style w:type="paragraph" w:styleId="Predmetkomentara">
    <w:name w:val="annotation subject"/>
    <w:basedOn w:val="Tekstkomentara"/>
    <w:next w:val="Tekstkomentara"/>
    <w:link w:val="PredmetkomentaraChar"/>
    <w:uiPriority w:val="99"/>
    <w:semiHidden/>
    <w:unhideWhenUsed/>
    <w:rsid w:val="00E13247"/>
    <w:rPr>
      <w:b/>
      <w:bCs/>
    </w:rPr>
  </w:style>
  <w:style w:type="character" w:customStyle="1" w:styleId="PredmetkomentaraChar">
    <w:name w:val="Predmet komentara Char"/>
    <w:basedOn w:val="TekstkomentaraChar"/>
    <w:link w:val="Predmetkomentara"/>
    <w:uiPriority w:val="99"/>
    <w:semiHidden/>
    <w:rsid w:val="00E13247"/>
    <w:rPr>
      <w:b/>
      <w:bCs/>
      <w:sz w:val="20"/>
      <w:szCs w:val="20"/>
    </w:rPr>
  </w:style>
  <w:style w:type="paragraph" w:styleId="Opisslike">
    <w:name w:val="caption"/>
    <w:basedOn w:val="Normal"/>
    <w:next w:val="Normal"/>
    <w:uiPriority w:val="35"/>
    <w:unhideWhenUsed/>
    <w:qFormat/>
    <w:rsid w:val="009835A2"/>
    <w:pPr>
      <w:spacing w:line="240" w:lineRule="auto"/>
    </w:pPr>
    <w:rPr>
      <w:b/>
      <w:bCs/>
      <w:color w:val="4F81BD" w:themeColor="accent1"/>
      <w:sz w:val="18"/>
      <w:szCs w:val="18"/>
    </w:rPr>
  </w:style>
  <w:style w:type="paragraph" w:styleId="Tablicaslika">
    <w:name w:val="table of figures"/>
    <w:basedOn w:val="Normal"/>
    <w:next w:val="Normal"/>
    <w:uiPriority w:val="99"/>
    <w:unhideWhenUsed/>
    <w:rsid w:val="00426EBE"/>
    <w:pPr>
      <w:spacing w:after="0"/>
    </w:pPr>
  </w:style>
  <w:style w:type="paragraph" w:styleId="Revizija">
    <w:name w:val="Revision"/>
    <w:hidden/>
    <w:uiPriority w:val="99"/>
    <w:semiHidden/>
    <w:rsid w:val="00B70278"/>
    <w:pPr>
      <w:spacing w:after="0" w:line="240" w:lineRule="auto"/>
    </w:pPr>
  </w:style>
  <w:style w:type="table" w:styleId="Reetkatablice">
    <w:name w:val="Table Grid"/>
    <w:basedOn w:val="Obinatablica"/>
    <w:uiPriority w:val="59"/>
    <w:rsid w:val="00B7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4">
    <w:name w:val="toc 4"/>
    <w:basedOn w:val="Normal"/>
    <w:next w:val="Normal"/>
    <w:autoRedefine/>
    <w:uiPriority w:val="39"/>
    <w:unhideWhenUsed/>
    <w:rsid w:val="00527751"/>
    <w:pPr>
      <w:spacing w:after="100"/>
      <w:ind w:left="660"/>
    </w:pPr>
    <w:rPr>
      <w:rFonts w:eastAsiaTheme="minorEastAsia"/>
      <w:lang w:eastAsia="hr-HR"/>
    </w:rPr>
  </w:style>
  <w:style w:type="paragraph" w:styleId="Sadraj5">
    <w:name w:val="toc 5"/>
    <w:basedOn w:val="Normal"/>
    <w:next w:val="Normal"/>
    <w:autoRedefine/>
    <w:uiPriority w:val="39"/>
    <w:unhideWhenUsed/>
    <w:rsid w:val="00527751"/>
    <w:pPr>
      <w:spacing w:after="100"/>
      <w:ind w:left="880"/>
    </w:pPr>
    <w:rPr>
      <w:rFonts w:eastAsiaTheme="minorEastAsia"/>
      <w:lang w:eastAsia="hr-HR"/>
    </w:rPr>
  </w:style>
  <w:style w:type="paragraph" w:styleId="Sadraj6">
    <w:name w:val="toc 6"/>
    <w:basedOn w:val="Normal"/>
    <w:next w:val="Normal"/>
    <w:autoRedefine/>
    <w:uiPriority w:val="39"/>
    <w:unhideWhenUsed/>
    <w:rsid w:val="00527751"/>
    <w:pPr>
      <w:spacing w:after="100"/>
      <w:ind w:left="1100"/>
    </w:pPr>
    <w:rPr>
      <w:rFonts w:eastAsiaTheme="minorEastAsia"/>
      <w:lang w:eastAsia="hr-HR"/>
    </w:rPr>
  </w:style>
  <w:style w:type="paragraph" w:styleId="Sadraj7">
    <w:name w:val="toc 7"/>
    <w:basedOn w:val="Normal"/>
    <w:next w:val="Normal"/>
    <w:autoRedefine/>
    <w:uiPriority w:val="39"/>
    <w:unhideWhenUsed/>
    <w:rsid w:val="00527751"/>
    <w:pPr>
      <w:spacing w:after="100"/>
      <w:ind w:left="1320"/>
    </w:pPr>
    <w:rPr>
      <w:rFonts w:eastAsiaTheme="minorEastAsia"/>
      <w:lang w:eastAsia="hr-HR"/>
    </w:rPr>
  </w:style>
  <w:style w:type="paragraph" w:styleId="Sadraj8">
    <w:name w:val="toc 8"/>
    <w:basedOn w:val="Normal"/>
    <w:next w:val="Normal"/>
    <w:autoRedefine/>
    <w:uiPriority w:val="39"/>
    <w:unhideWhenUsed/>
    <w:rsid w:val="00527751"/>
    <w:pPr>
      <w:spacing w:after="100"/>
      <w:ind w:left="1540"/>
    </w:pPr>
    <w:rPr>
      <w:rFonts w:eastAsiaTheme="minorEastAsia"/>
      <w:lang w:eastAsia="hr-HR"/>
    </w:rPr>
  </w:style>
  <w:style w:type="paragraph" w:styleId="Sadraj9">
    <w:name w:val="toc 9"/>
    <w:basedOn w:val="Normal"/>
    <w:next w:val="Normal"/>
    <w:autoRedefine/>
    <w:uiPriority w:val="39"/>
    <w:unhideWhenUsed/>
    <w:rsid w:val="00527751"/>
    <w:pPr>
      <w:spacing w:after="100"/>
      <w:ind w:left="1760"/>
    </w:pPr>
    <w:rPr>
      <w:rFonts w:eastAsiaTheme="minorEastAsia"/>
      <w:lang w:eastAsia="hr-HR"/>
    </w:rPr>
  </w:style>
  <w:style w:type="paragraph" w:styleId="Bezproreda">
    <w:name w:val="No Spacing"/>
    <w:link w:val="BezproredaChar"/>
    <w:uiPriority w:val="1"/>
    <w:qFormat/>
    <w:rsid w:val="000C7CE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0C7CE0"/>
    <w:rPr>
      <w:rFonts w:eastAsiaTheme="minorEastAsia"/>
      <w:lang w:eastAsia="hr-HR"/>
    </w:rPr>
  </w:style>
  <w:style w:type="paragraph" w:styleId="Naslov">
    <w:name w:val="Title"/>
    <w:basedOn w:val="Normal"/>
    <w:next w:val="Normal"/>
    <w:link w:val="NaslovChar"/>
    <w:uiPriority w:val="10"/>
    <w:qFormat/>
    <w:rsid w:val="000C7C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hr-HR"/>
    </w:rPr>
  </w:style>
  <w:style w:type="character" w:customStyle="1" w:styleId="NaslovChar">
    <w:name w:val="Naslov Char"/>
    <w:basedOn w:val="Zadanifontodlomka"/>
    <w:link w:val="Naslov"/>
    <w:uiPriority w:val="10"/>
    <w:rsid w:val="000C7CE0"/>
    <w:rPr>
      <w:rFonts w:asciiTheme="majorHAnsi" w:eastAsiaTheme="majorEastAsia" w:hAnsiTheme="majorHAnsi" w:cstheme="majorBidi"/>
      <w:color w:val="17365D" w:themeColor="text2" w:themeShade="BF"/>
      <w:spacing w:val="5"/>
      <w:kern w:val="28"/>
      <w:sz w:val="52"/>
      <w:szCs w:val="52"/>
      <w:lang w:eastAsia="hr-HR"/>
    </w:rPr>
  </w:style>
  <w:style w:type="paragraph" w:styleId="Podnaslov">
    <w:name w:val="Subtitle"/>
    <w:basedOn w:val="Normal"/>
    <w:next w:val="Normal"/>
    <w:link w:val="PodnaslovChar"/>
    <w:uiPriority w:val="11"/>
    <w:qFormat/>
    <w:rsid w:val="000C7CE0"/>
    <w:pPr>
      <w:numPr>
        <w:ilvl w:val="1"/>
      </w:numPr>
    </w:pPr>
    <w:rPr>
      <w:rFonts w:asciiTheme="majorHAnsi" w:eastAsiaTheme="majorEastAsia" w:hAnsiTheme="majorHAnsi" w:cstheme="majorBidi"/>
      <w:i/>
      <w:iCs/>
      <w:color w:val="4F81BD" w:themeColor="accent1"/>
      <w:spacing w:val="15"/>
      <w:sz w:val="24"/>
      <w:szCs w:val="24"/>
      <w:lang w:eastAsia="hr-HR"/>
    </w:rPr>
  </w:style>
  <w:style w:type="character" w:customStyle="1" w:styleId="PodnaslovChar">
    <w:name w:val="Podnaslov Char"/>
    <w:basedOn w:val="Zadanifontodlomka"/>
    <w:link w:val="Podnaslov"/>
    <w:uiPriority w:val="11"/>
    <w:rsid w:val="000C7CE0"/>
    <w:rPr>
      <w:rFonts w:asciiTheme="majorHAnsi" w:eastAsiaTheme="majorEastAsia" w:hAnsiTheme="majorHAnsi" w:cstheme="majorBidi"/>
      <w:i/>
      <w:iCs/>
      <w:color w:val="4F81BD" w:themeColor="accent1"/>
      <w:spacing w:val="15"/>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0F61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8150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8150EA"/>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D546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F61C9"/>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8150EA"/>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8150EA"/>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D5467D"/>
    <w:rPr>
      <w:rFonts w:asciiTheme="majorHAnsi" w:eastAsiaTheme="majorEastAsia" w:hAnsiTheme="majorHAnsi" w:cstheme="majorBidi"/>
      <w:b/>
      <w:bCs/>
      <w:i/>
      <w:iCs/>
      <w:color w:val="4F81BD" w:themeColor="accent1"/>
    </w:rPr>
  </w:style>
  <w:style w:type="paragraph" w:styleId="Odlomakpopisa">
    <w:name w:val="List Paragraph"/>
    <w:basedOn w:val="Normal"/>
    <w:uiPriority w:val="34"/>
    <w:qFormat/>
    <w:rsid w:val="0040350D"/>
    <w:pPr>
      <w:ind w:left="720"/>
      <w:contextualSpacing/>
    </w:pPr>
  </w:style>
  <w:style w:type="paragraph" w:styleId="Tekstbalonia">
    <w:name w:val="Balloon Text"/>
    <w:basedOn w:val="Normal"/>
    <w:link w:val="TekstbaloniaChar"/>
    <w:uiPriority w:val="99"/>
    <w:semiHidden/>
    <w:unhideWhenUsed/>
    <w:rsid w:val="00B56DB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56DBA"/>
    <w:rPr>
      <w:rFonts w:ascii="Tahoma" w:hAnsi="Tahoma" w:cs="Tahoma"/>
      <w:sz w:val="16"/>
      <w:szCs w:val="16"/>
    </w:rPr>
  </w:style>
  <w:style w:type="character" w:styleId="Naglaeno">
    <w:name w:val="Strong"/>
    <w:basedOn w:val="Zadanifontodlomka"/>
    <w:uiPriority w:val="22"/>
    <w:qFormat/>
    <w:rsid w:val="00803667"/>
    <w:rPr>
      <w:b/>
      <w:bCs/>
    </w:rPr>
  </w:style>
  <w:style w:type="character" w:styleId="Hiperveza">
    <w:name w:val="Hyperlink"/>
    <w:basedOn w:val="Zadanifontodlomka"/>
    <w:uiPriority w:val="99"/>
    <w:unhideWhenUsed/>
    <w:rsid w:val="00CE2CC0"/>
    <w:rPr>
      <w:strike w:val="0"/>
      <w:dstrike w:val="0"/>
      <w:color w:val="003982"/>
      <w:u w:val="none"/>
      <w:effect w:val="none"/>
    </w:rPr>
  </w:style>
  <w:style w:type="paragraph" w:styleId="Tekstfusnote">
    <w:name w:val="footnote text"/>
    <w:basedOn w:val="Normal"/>
    <w:link w:val="TekstfusnoteChar"/>
    <w:uiPriority w:val="99"/>
    <w:semiHidden/>
    <w:unhideWhenUsed/>
    <w:rsid w:val="00315F7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15F7B"/>
    <w:rPr>
      <w:sz w:val="20"/>
      <w:szCs w:val="20"/>
    </w:rPr>
  </w:style>
  <w:style w:type="character" w:styleId="Referencafusnote">
    <w:name w:val="footnote reference"/>
    <w:basedOn w:val="Zadanifontodlomka"/>
    <w:uiPriority w:val="99"/>
    <w:semiHidden/>
    <w:unhideWhenUsed/>
    <w:rsid w:val="00315F7B"/>
    <w:rPr>
      <w:vertAlign w:val="superscript"/>
    </w:rPr>
  </w:style>
  <w:style w:type="paragraph" w:styleId="Zaglavlje">
    <w:name w:val="header"/>
    <w:basedOn w:val="Normal"/>
    <w:link w:val="ZaglavljeChar"/>
    <w:uiPriority w:val="99"/>
    <w:unhideWhenUsed/>
    <w:rsid w:val="00D904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904FE"/>
  </w:style>
  <w:style w:type="paragraph" w:styleId="Podnoje">
    <w:name w:val="footer"/>
    <w:basedOn w:val="Normal"/>
    <w:link w:val="PodnojeChar"/>
    <w:uiPriority w:val="99"/>
    <w:unhideWhenUsed/>
    <w:rsid w:val="00D904F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904FE"/>
  </w:style>
  <w:style w:type="paragraph" w:styleId="Sadraj1">
    <w:name w:val="toc 1"/>
    <w:basedOn w:val="Normal"/>
    <w:next w:val="Normal"/>
    <w:autoRedefine/>
    <w:uiPriority w:val="39"/>
    <w:unhideWhenUsed/>
    <w:rsid w:val="000D0271"/>
    <w:pPr>
      <w:spacing w:after="100"/>
    </w:pPr>
  </w:style>
  <w:style w:type="paragraph" w:styleId="Sadraj2">
    <w:name w:val="toc 2"/>
    <w:basedOn w:val="Normal"/>
    <w:next w:val="Normal"/>
    <w:autoRedefine/>
    <w:uiPriority w:val="39"/>
    <w:unhideWhenUsed/>
    <w:rsid w:val="000D0271"/>
    <w:pPr>
      <w:spacing w:after="100"/>
      <w:ind w:left="220"/>
    </w:pPr>
  </w:style>
  <w:style w:type="paragraph" w:styleId="Sadraj3">
    <w:name w:val="toc 3"/>
    <w:basedOn w:val="Normal"/>
    <w:next w:val="Normal"/>
    <w:autoRedefine/>
    <w:uiPriority w:val="39"/>
    <w:unhideWhenUsed/>
    <w:rsid w:val="000D0271"/>
    <w:pPr>
      <w:spacing w:after="100"/>
      <w:ind w:left="440"/>
    </w:pPr>
  </w:style>
  <w:style w:type="paragraph" w:customStyle="1" w:styleId="Default">
    <w:name w:val="Default"/>
    <w:rsid w:val="00736949"/>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E13247"/>
    <w:rPr>
      <w:sz w:val="16"/>
      <w:szCs w:val="16"/>
    </w:rPr>
  </w:style>
  <w:style w:type="paragraph" w:styleId="Tekstkomentara">
    <w:name w:val="annotation text"/>
    <w:basedOn w:val="Normal"/>
    <w:link w:val="TekstkomentaraChar"/>
    <w:uiPriority w:val="99"/>
    <w:semiHidden/>
    <w:unhideWhenUsed/>
    <w:rsid w:val="00E13247"/>
    <w:pPr>
      <w:spacing w:line="240" w:lineRule="auto"/>
    </w:pPr>
    <w:rPr>
      <w:sz w:val="20"/>
      <w:szCs w:val="20"/>
    </w:rPr>
  </w:style>
  <w:style w:type="character" w:customStyle="1" w:styleId="TekstkomentaraChar">
    <w:name w:val="Tekst komentara Char"/>
    <w:basedOn w:val="Zadanifontodlomka"/>
    <w:link w:val="Tekstkomentara"/>
    <w:uiPriority w:val="99"/>
    <w:semiHidden/>
    <w:rsid w:val="00E13247"/>
    <w:rPr>
      <w:sz w:val="20"/>
      <w:szCs w:val="20"/>
    </w:rPr>
  </w:style>
  <w:style w:type="paragraph" w:styleId="Predmetkomentara">
    <w:name w:val="annotation subject"/>
    <w:basedOn w:val="Tekstkomentara"/>
    <w:next w:val="Tekstkomentara"/>
    <w:link w:val="PredmetkomentaraChar"/>
    <w:uiPriority w:val="99"/>
    <w:semiHidden/>
    <w:unhideWhenUsed/>
    <w:rsid w:val="00E13247"/>
    <w:rPr>
      <w:b/>
      <w:bCs/>
    </w:rPr>
  </w:style>
  <w:style w:type="character" w:customStyle="1" w:styleId="PredmetkomentaraChar">
    <w:name w:val="Predmet komentara Char"/>
    <w:basedOn w:val="TekstkomentaraChar"/>
    <w:link w:val="Predmetkomentara"/>
    <w:uiPriority w:val="99"/>
    <w:semiHidden/>
    <w:rsid w:val="00E13247"/>
    <w:rPr>
      <w:b/>
      <w:bCs/>
      <w:sz w:val="20"/>
      <w:szCs w:val="20"/>
    </w:rPr>
  </w:style>
  <w:style w:type="paragraph" w:styleId="Opisslike">
    <w:name w:val="caption"/>
    <w:basedOn w:val="Normal"/>
    <w:next w:val="Normal"/>
    <w:uiPriority w:val="35"/>
    <w:unhideWhenUsed/>
    <w:qFormat/>
    <w:rsid w:val="009835A2"/>
    <w:pPr>
      <w:spacing w:line="240" w:lineRule="auto"/>
    </w:pPr>
    <w:rPr>
      <w:b/>
      <w:bCs/>
      <w:color w:val="4F81BD" w:themeColor="accent1"/>
      <w:sz w:val="18"/>
      <w:szCs w:val="18"/>
    </w:rPr>
  </w:style>
  <w:style w:type="paragraph" w:styleId="Tablicaslika">
    <w:name w:val="table of figures"/>
    <w:basedOn w:val="Normal"/>
    <w:next w:val="Normal"/>
    <w:uiPriority w:val="99"/>
    <w:unhideWhenUsed/>
    <w:rsid w:val="00426EBE"/>
    <w:pPr>
      <w:spacing w:after="0"/>
    </w:pPr>
  </w:style>
  <w:style w:type="paragraph" w:styleId="Revizija">
    <w:name w:val="Revision"/>
    <w:hidden/>
    <w:uiPriority w:val="99"/>
    <w:semiHidden/>
    <w:rsid w:val="00B70278"/>
    <w:pPr>
      <w:spacing w:after="0" w:line="240" w:lineRule="auto"/>
    </w:pPr>
  </w:style>
  <w:style w:type="table" w:styleId="Reetkatablice">
    <w:name w:val="Table Grid"/>
    <w:basedOn w:val="Obinatablica"/>
    <w:uiPriority w:val="59"/>
    <w:rsid w:val="00B7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4">
    <w:name w:val="toc 4"/>
    <w:basedOn w:val="Normal"/>
    <w:next w:val="Normal"/>
    <w:autoRedefine/>
    <w:uiPriority w:val="39"/>
    <w:unhideWhenUsed/>
    <w:rsid w:val="00527751"/>
    <w:pPr>
      <w:spacing w:after="100"/>
      <w:ind w:left="660"/>
    </w:pPr>
    <w:rPr>
      <w:rFonts w:eastAsiaTheme="minorEastAsia"/>
      <w:lang w:eastAsia="hr-HR"/>
    </w:rPr>
  </w:style>
  <w:style w:type="paragraph" w:styleId="Sadraj5">
    <w:name w:val="toc 5"/>
    <w:basedOn w:val="Normal"/>
    <w:next w:val="Normal"/>
    <w:autoRedefine/>
    <w:uiPriority w:val="39"/>
    <w:unhideWhenUsed/>
    <w:rsid w:val="00527751"/>
    <w:pPr>
      <w:spacing w:after="100"/>
      <w:ind w:left="880"/>
    </w:pPr>
    <w:rPr>
      <w:rFonts w:eastAsiaTheme="minorEastAsia"/>
      <w:lang w:eastAsia="hr-HR"/>
    </w:rPr>
  </w:style>
  <w:style w:type="paragraph" w:styleId="Sadraj6">
    <w:name w:val="toc 6"/>
    <w:basedOn w:val="Normal"/>
    <w:next w:val="Normal"/>
    <w:autoRedefine/>
    <w:uiPriority w:val="39"/>
    <w:unhideWhenUsed/>
    <w:rsid w:val="00527751"/>
    <w:pPr>
      <w:spacing w:after="100"/>
      <w:ind w:left="1100"/>
    </w:pPr>
    <w:rPr>
      <w:rFonts w:eastAsiaTheme="minorEastAsia"/>
      <w:lang w:eastAsia="hr-HR"/>
    </w:rPr>
  </w:style>
  <w:style w:type="paragraph" w:styleId="Sadraj7">
    <w:name w:val="toc 7"/>
    <w:basedOn w:val="Normal"/>
    <w:next w:val="Normal"/>
    <w:autoRedefine/>
    <w:uiPriority w:val="39"/>
    <w:unhideWhenUsed/>
    <w:rsid w:val="00527751"/>
    <w:pPr>
      <w:spacing w:after="100"/>
      <w:ind w:left="1320"/>
    </w:pPr>
    <w:rPr>
      <w:rFonts w:eastAsiaTheme="minorEastAsia"/>
      <w:lang w:eastAsia="hr-HR"/>
    </w:rPr>
  </w:style>
  <w:style w:type="paragraph" w:styleId="Sadraj8">
    <w:name w:val="toc 8"/>
    <w:basedOn w:val="Normal"/>
    <w:next w:val="Normal"/>
    <w:autoRedefine/>
    <w:uiPriority w:val="39"/>
    <w:unhideWhenUsed/>
    <w:rsid w:val="00527751"/>
    <w:pPr>
      <w:spacing w:after="100"/>
      <w:ind w:left="1540"/>
    </w:pPr>
    <w:rPr>
      <w:rFonts w:eastAsiaTheme="minorEastAsia"/>
      <w:lang w:eastAsia="hr-HR"/>
    </w:rPr>
  </w:style>
  <w:style w:type="paragraph" w:styleId="Sadraj9">
    <w:name w:val="toc 9"/>
    <w:basedOn w:val="Normal"/>
    <w:next w:val="Normal"/>
    <w:autoRedefine/>
    <w:uiPriority w:val="39"/>
    <w:unhideWhenUsed/>
    <w:rsid w:val="00527751"/>
    <w:pPr>
      <w:spacing w:after="100"/>
      <w:ind w:left="1760"/>
    </w:pPr>
    <w:rPr>
      <w:rFonts w:eastAsiaTheme="minorEastAsia"/>
      <w:lang w:eastAsia="hr-HR"/>
    </w:rPr>
  </w:style>
  <w:style w:type="paragraph" w:styleId="Bezproreda">
    <w:name w:val="No Spacing"/>
    <w:link w:val="BezproredaChar"/>
    <w:uiPriority w:val="1"/>
    <w:qFormat/>
    <w:rsid w:val="000C7CE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0C7CE0"/>
    <w:rPr>
      <w:rFonts w:eastAsiaTheme="minorEastAsia"/>
      <w:lang w:eastAsia="hr-HR"/>
    </w:rPr>
  </w:style>
  <w:style w:type="paragraph" w:styleId="Naslov">
    <w:name w:val="Title"/>
    <w:basedOn w:val="Normal"/>
    <w:next w:val="Normal"/>
    <w:link w:val="NaslovChar"/>
    <w:uiPriority w:val="10"/>
    <w:qFormat/>
    <w:rsid w:val="000C7C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hr-HR"/>
    </w:rPr>
  </w:style>
  <w:style w:type="character" w:customStyle="1" w:styleId="NaslovChar">
    <w:name w:val="Naslov Char"/>
    <w:basedOn w:val="Zadanifontodlomka"/>
    <w:link w:val="Naslov"/>
    <w:uiPriority w:val="10"/>
    <w:rsid w:val="000C7CE0"/>
    <w:rPr>
      <w:rFonts w:asciiTheme="majorHAnsi" w:eastAsiaTheme="majorEastAsia" w:hAnsiTheme="majorHAnsi" w:cstheme="majorBidi"/>
      <w:color w:val="17365D" w:themeColor="text2" w:themeShade="BF"/>
      <w:spacing w:val="5"/>
      <w:kern w:val="28"/>
      <w:sz w:val="52"/>
      <w:szCs w:val="52"/>
      <w:lang w:eastAsia="hr-HR"/>
    </w:rPr>
  </w:style>
  <w:style w:type="paragraph" w:styleId="Podnaslov">
    <w:name w:val="Subtitle"/>
    <w:basedOn w:val="Normal"/>
    <w:next w:val="Normal"/>
    <w:link w:val="PodnaslovChar"/>
    <w:uiPriority w:val="11"/>
    <w:qFormat/>
    <w:rsid w:val="000C7CE0"/>
    <w:pPr>
      <w:numPr>
        <w:ilvl w:val="1"/>
      </w:numPr>
    </w:pPr>
    <w:rPr>
      <w:rFonts w:asciiTheme="majorHAnsi" w:eastAsiaTheme="majorEastAsia" w:hAnsiTheme="majorHAnsi" w:cstheme="majorBidi"/>
      <w:i/>
      <w:iCs/>
      <w:color w:val="4F81BD" w:themeColor="accent1"/>
      <w:spacing w:val="15"/>
      <w:sz w:val="24"/>
      <w:szCs w:val="24"/>
      <w:lang w:eastAsia="hr-HR"/>
    </w:rPr>
  </w:style>
  <w:style w:type="character" w:customStyle="1" w:styleId="PodnaslovChar">
    <w:name w:val="Podnaslov Char"/>
    <w:basedOn w:val="Zadanifontodlomka"/>
    <w:link w:val="Podnaslov"/>
    <w:uiPriority w:val="11"/>
    <w:rsid w:val="000C7CE0"/>
    <w:rPr>
      <w:rFonts w:asciiTheme="majorHAnsi" w:eastAsiaTheme="majorEastAsia" w:hAnsiTheme="majorHAnsi" w:cstheme="majorBidi"/>
      <w:i/>
      <w:iCs/>
      <w:color w:val="4F81BD" w:themeColor="accent1"/>
      <w:spacing w:val="15"/>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391">
      <w:bodyDiv w:val="1"/>
      <w:marLeft w:val="0"/>
      <w:marRight w:val="0"/>
      <w:marTop w:val="0"/>
      <w:marBottom w:val="0"/>
      <w:divBdr>
        <w:top w:val="none" w:sz="0" w:space="0" w:color="auto"/>
        <w:left w:val="none" w:sz="0" w:space="0" w:color="auto"/>
        <w:bottom w:val="none" w:sz="0" w:space="0" w:color="auto"/>
        <w:right w:val="none" w:sz="0" w:space="0" w:color="auto"/>
      </w:divBdr>
    </w:div>
    <w:div w:id="32198720">
      <w:bodyDiv w:val="1"/>
      <w:marLeft w:val="0"/>
      <w:marRight w:val="0"/>
      <w:marTop w:val="0"/>
      <w:marBottom w:val="0"/>
      <w:divBdr>
        <w:top w:val="none" w:sz="0" w:space="0" w:color="auto"/>
        <w:left w:val="none" w:sz="0" w:space="0" w:color="auto"/>
        <w:bottom w:val="none" w:sz="0" w:space="0" w:color="auto"/>
        <w:right w:val="none" w:sz="0" w:space="0" w:color="auto"/>
      </w:divBdr>
    </w:div>
    <w:div w:id="33121375">
      <w:bodyDiv w:val="1"/>
      <w:marLeft w:val="0"/>
      <w:marRight w:val="0"/>
      <w:marTop w:val="0"/>
      <w:marBottom w:val="0"/>
      <w:divBdr>
        <w:top w:val="none" w:sz="0" w:space="0" w:color="auto"/>
        <w:left w:val="none" w:sz="0" w:space="0" w:color="auto"/>
        <w:bottom w:val="none" w:sz="0" w:space="0" w:color="auto"/>
        <w:right w:val="none" w:sz="0" w:space="0" w:color="auto"/>
      </w:divBdr>
    </w:div>
    <w:div w:id="45758126">
      <w:bodyDiv w:val="1"/>
      <w:marLeft w:val="0"/>
      <w:marRight w:val="0"/>
      <w:marTop w:val="0"/>
      <w:marBottom w:val="0"/>
      <w:divBdr>
        <w:top w:val="none" w:sz="0" w:space="0" w:color="auto"/>
        <w:left w:val="none" w:sz="0" w:space="0" w:color="auto"/>
        <w:bottom w:val="none" w:sz="0" w:space="0" w:color="auto"/>
        <w:right w:val="none" w:sz="0" w:space="0" w:color="auto"/>
      </w:divBdr>
    </w:div>
    <w:div w:id="49040050">
      <w:bodyDiv w:val="1"/>
      <w:marLeft w:val="0"/>
      <w:marRight w:val="0"/>
      <w:marTop w:val="0"/>
      <w:marBottom w:val="0"/>
      <w:divBdr>
        <w:top w:val="none" w:sz="0" w:space="0" w:color="auto"/>
        <w:left w:val="none" w:sz="0" w:space="0" w:color="auto"/>
        <w:bottom w:val="none" w:sz="0" w:space="0" w:color="auto"/>
        <w:right w:val="none" w:sz="0" w:space="0" w:color="auto"/>
      </w:divBdr>
    </w:div>
    <w:div w:id="53817855">
      <w:bodyDiv w:val="1"/>
      <w:marLeft w:val="0"/>
      <w:marRight w:val="0"/>
      <w:marTop w:val="0"/>
      <w:marBottom w:val="0"/>
      <w:divBdr>
        <w:top w:val="none" w:sz="0" w:space="0" w:color="auto"/>
        <w:left w:val="none" w:sz="0" w:space="0" w:color="auto"/>
        <w:bottom w:val="none" w:sz="0" w:space="0" w:color="auto"/>
        <w:right w:val="none" w:sz="0" w:space="0" w:color="auto"/>
      </w:divBdr>
    </w:div>
    <w:div w:id="79447097">
      <w:bodyDiv w:val="1"/>
      <w:marLeft w:val="0"/>
      <w:marRight w:val="0"/>
      <w:marTop w:val="0"/>
      <w:marBottom w:val="0"/>
      <w:divBdr>
        <w:top w:val="none" w:sz="0" w:space="0" w:color="auto"/>
        <w:left w:val="none" w:sz="0" w:space="0" w:color="auto"/>
        <w:bottom w:val="none" w:sz="0" w:space="0" w:color="auto"/>
        <w:right w:val="none" w:sz="0" w:space="0" w:color="auto"/>
      </w:divBdr>
      <w:divsChild>
        <w:div w:id="1722753160">
          <w:marLeft w:val="0"/>
          <w:marRight w:val="0"/>
          <w:marTop w:val="0"/>
          <w:marBottom w:val="0"/>
          <w:divBdr>
            <w:top w:val="none" w:sz="0" w:space="0" w:color="auto"/>
            <w:left w:val="none" w:sz="0" w:space="0" w:color="auto"/>
            <w:bottom w:val="none" w:sz="0" w:space="0" w:color="auto"/>
            <w:right w:val="none" w:sz="0" w:space="0" w:color="auto"/>
          </w:divBdr>
        </w:div>
      </w:divsChild>
    </w:div>
    <w:div w:id="159466759">
      <w:bodyDiv w:val="1"/>
      <w:marLeft w:val="0"/>
      <w:marRight w:val="0"/>
      <w:marTop w:val="0"/>
      <w:marBottom w:val="0"/>
      <w:divBdr>
        <w:top w:val="none" w:sz="0" w:space="0" w:color="auto"/>
        <w:left w:val="none" w:sz="0" w:space="0" w:color="auto"/>
        <w:bottom w:val="none" w:sz="0" w:space="0" w:color="auto"/>
        <w:right w:val="none" w:sz="0" w:space="0" w:color="auto"/>
      </w:divBdr>
    </w:div>
    <w:div w:id="193152349">
      <w:bodyDiv w:val="1"/>
      <w:marLeft w:val="0"/>
      <w:marRight w:val="0"/>
      <w:marTop w:val="0"/>
      <w:marBottom w:val="0"/>
      <w:divBdr>
        <w:top w:val="none" w:sz="0" w:space="0" w:color="auto"/>
        <w:left w:val="none" w:sz="0" w:space="0" w:color="auto"/>
        <w:bottom w:val="none" w:sz="0" w:space="0" w:color="auto"/>
        <w:right w:val="none" w:sz="0" w:space="0" w:color="auto"/>
      </w:divBdr>
    </w:div>
    <w:div w:id="277183306">
      <w:bodyDiv w:val="1"/>
      <w:marLeft w:val="0"/>
      <w:marRight w:val="0"/>
      <w:marTop w:val="0"/>
      <w:marBottom w:val="0"/>
      <w:divBdr>
        <w:top w:val="none" w:sz="0" w:space="0" w:color="auto"/>
        <w:left w:val="none" w:sz="0" w:space="0" w:color="auto"/>
        <w:bottom w:val="none" w:sz="0" w:space="0" w:color="auto"/>
        <w:right w:val="none" w:sz="0" w:space="0" w:color="auto"/>
      </w:divBdr>
    </w:div>
    <w:div w:id="319191367">
      <w:bodyDiv w:val="1"/>
      <w:marLeft w:val="0"/>
      <w:marRight w:val="0"/>
      <w:marTop w:val="0"/>
      <w:marBottom w:val="0"/>
      <w:divBdr>
        <w:top w:val="none" w:sz="0" w:space="0" w:color="auto"/>
        <w:left w:val="none" w:sz="0" w:space="0" w:color="auto"/>
        <w:bottom w:val="none" w:sz="0" w:space="0" w:color="auto"/>
        <w:right w:val="none" w:sz="0" w:space="0" w:color="auto"/>
      </w:divBdr>
    </w:div>
    <w:div w:id="359287437">
      <w:bodyDiv w:val="1"/>
      <w:marLeft w:val="0"/>
      <w:marRight w:val="0"/>
      <w:marTop w:val="0"/>
      <w:marBottom w:val="0"/>
      <w:divBdr>
        <w:top w:val="none" w:sz="0" w:space="0" w:color="auto"/>
        <w:left w:val="none" w:sz="0" w:space="0" w:color="auto"/>
        <w:bottom w:val="none" w:sz="0" w:space="0" w:color="auto"/>
        <w:right w:val="none" w:sz="0" w:space="0" w:color="auto"/>
      </w:divBdr>
    </w:div>
    <w:div w:id="396175954">
      <w:bodyDiv w:val="1"/>
      <w:marLeft w:val="0"/>
      <w:marRight w:val="0"/>
      <w:marTop w:val="0"/>
      <w:marBottom w:val="0"/>
      <w:divBdr>
        <w:top w:val="none" w:sz="0" w:space="0" w:color="auto"/>
        <w:left w:val="none" w:sz="0" w:space="0" w:color="auto"/>
        <w:bottom w:val="none" w:sz="0" w:space="0" w:color="auto"/>
        <w:right w:val="none" w:sz="0" w:space="0" w:color="auto"/>
      </w:divBdr>
    </w:div>
    <w:div w:id="396823176">
      <w:bodyDiv w:val="1"/>
      <w:marLeft w:val="0"/>
      <w:marRight w:val="0"/>
      <w:marTop w:val="0"/>
      <w:marBottom w:val="0"/>
      <w:divBdr>
        <w:top w:val="none" w:sz="0" w:space="0" w:color="auto"/>
        <w:left w:val="none" w:sz="0" w:space="0" w:color="auto"/>
        <w:bottom w:val="none" w:sz="0" w:space="0" w:color="auto"/>
        <w:right w:val="none" w:sz="0" w:space="0" w:color="auto"/>
      </w:divBdr>
    </w:div>
    <w:div w:id="398942053">
      <w:bodyDiv w:val="1"/>
      <w:marLeft w:val="0"/>
      <w:marRight w:val="0"/>
      <w:marTop w:val="0"/>
      <w:marBottom w:val="0"/>
      <w:divBdr>
        <w:top w:val="none" w:sz="0" w:space="0" w:color="auto"/>
        <w:left w:val="none" w:sz="0" w:space="0" w:color="auto"/>
        <w:bottom w:val="none" w:sz="0" w:space="0" w:color="auto"/>
        <w:right w:val="none" w:sz="0" w:space="0" w:color="auto"/>
      </w:divBdr>
      <w:divsChild>
        <w:div w:id="538277243">
          <w:marLeft w:val="0"/>
          <w:marRight w:val="0"/>
          <w:marTop w:val="0"/>
          <w:marBottom w:val="0"/>
          <w:divBdr>
            <w:top w:val="none" w:sz="0" w:space="0" w:color="auto"/>
            <w:left w:val="none" w:sz="0" w:space="0" w:color="auto"/>
            <w:bottom w:val="none" w:sz="0" w:space="0" w:color="auto"/>
            <w:right w:val="none" w:sz="0" w:space="0" w:color="auto"/>
          </w:divBdr>
          <w:divsChild>
            <w:div w:id="952790271">
              <w:marLeft w:val="0"/>
              <w:marRight w:val="0"/>
              <w:marTop w:val="0"/>
              <w:marBottom w:val="0"/>
              <w:divBdr>
                <w:top w:val="none" w:sz="0" w:space="0" w:color="auto"/>
                <w:left w:val="none" w:sz="0" w:space="0" w:color="auto"/>
                <w:bottom w:val="none" w:sz="0" w:space="0" w:color="auto"/>
                <w:right w:val="none" w:sz="0" w:space="0" w:color="auto"/>
              </w:divBdr>
              <w:divsChild>
                <w:div w:id="1635215068">
                  <w:marLeft w:val="0"/>
                  <w:marRight w:val="0"/>
                  <w:marTop w:val="510"/>
                  <w:marBottom w:val="0"/>
                  <w:divBdr>
                    <w:top w:val="none" w:sz="0" w:space="0" w:color="auto"/>
                    <w:left w:val="none" w:sz="0" w:space="0" w:color="auto"/>
                    <w:bottom w:val="none" w:sz="0" w:space="0" w:color="auto"/>
                    <w:right w:val="none" w:sz="0" w:space="0" w:color="auto"/>
                  </w:divBdr>
                  <w:divsChild>
                    <w:div w:id="14539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86530">
      <w:bodyDiv w:val="1"/>
      <w:marLeft w:val="0"/>
      <w:marRight w:val="0"/>
      <w:marTop w:val="0"/>
      <w:marBottom w:val="0"/>
      <w:divBdr>
        <w:top w:val="none" w:sz="0" w:space="0" w:color="auto"/>
        <w:left w:val="none" w:sz="0" w:space="0" w:color="auto"/>
        <w:bottom w:val="none" w:sz="0" w:space="0" w:color="auto"/>
        <w:right w:val="none" w:sz="0" w:space="0" w:color="auto"/>
      </w:divBdr>
    </w:div>
    <w:div w:id="465582786">
      <w:bodyDiv w:val="1"/>
      <w:marLeft w:val="0"/>
      <w:marRight w:val="0"/>
      <w:marTop w:val="0"/>
      <w:marBottom w:val="0"/>
      <w:divBdr>
        <w:top w:val="none" w:sz="0" w:space="0" w:color="auto"/>
        <w:left w:val="none" w:sz="0" w:space="0" w:color="auto"/>
        <w:bottom w:val="none" w:sz="0" w:space="0" w:color="auto"/>
        <w:right w:val="none" w:sz="0" w:space="0" w:color="auto"/>
      </w:divBdr>
    </w:div>
    <w:div w:id="481507195">
      <w:bodyDiv w:val="1"/>
      <w:marLeft w:val="0"/>
      <w:marRight w:val="0"/>
      <w:marTop w:val="0"/>
      <w:marBottom w:val="0"/>
      <w:divBdr>
        <w:top w:val="none" w:sz="0" w:space="0" w:color="auto"/>
        <w:left w:val="none" w:sz="0" w:space="0" w:color="auto"/>
        <w:bottom w:val="none" w:sz="0" w:space="0" w:color="auto"/>
        <w:right w:val="none" w:sz="0" w:space="0" w:color="auto"/>
      </w:divBdr>
    </w:div>
    <w:div w:id="529226448">
      <w:bodyDiv w:val="1"/>
      <w:marLeft w:val="0"/>
      <w:marRight w:val="0"/>
      <w:marTop w:val="0"/>
      <w:marBottom w:val="0"/>
      <w:divBdr>
        <w:top w:val="none" w:sz="0" w:space="0" w:color="auto"/>
        <w:left w:val="none" w:sz="0" w:space="0" w:color="auto"/>
        <w:bottom w:val="none" w:sz="0" w:space="0" w:color="auto"/>
        <w:right w:val="none" w:sz="0" w:space="0" w:color="auto"/>
      </w:divBdr>
    </w:div>
    <w:div w:id="543103483">
      <w:bodyDiv w:val="1"/>
      <w:marLeft w:val="0"/>
      <w:marRight w:val="0"/>
      <w:marTop w:val="0"/>
      <w:marBottom w:val="0"/>
      <w:divBdr>
        <w:top w:val="none" w:sz="0" w:space="0" w:color="auto"/>
        <w:left w:val="none" w:sz="0" w:space="0" w:color="auto"/>
        <w:bottom w:val="none" w:sz="0" w:space="0" w:color="auto"/>
        <w:right w:val="none" w:sz="0" w:space="0" w:color="auto"/>
      </w:divBdr>
    </w:div>
    <w:div w:id="562328597">
      <w:bodyDiv w:val="1"/>
      <w:marLeft w:val="0"/>
      <w:marRight w:val="0"/>
      <w:marTop w:val="0"/>
      <w:marBottom w:val="0"/>
      <w:divBdr>
        <w:top w:val="none" w:sz="0" w:space="0" w:color="auto"/>
        <w:left w:val="none" w:sz="0" w:space="0" w:color="auto"/>
        <w:bottom w:val="none" w:sz="0" w:space="0" w:color="auto"/>
        <w:right w:val="none" w:sz="0" w:space="0" w:color="auto"/>
      </w:divBdr>
    </w:div>
    <w:div w:id="585655624">
      <w:bodyDiv w:val="1"/>
      <w:marLeft w:val="0"/>
      <w:marRight w:val="0"/>
      <w:marTop w:val="0"/>
      <w:marBottom w:val="0"/>
      <w:divBdr>
        <w:top w:val="none" w:sz="0" w:space="0" w:color="auto"/>
        <w:left w:val="none" w:sz="0" w:space="0" w:color="auto"/>
        <w:bottom w:val="none" w:sz="0" w:space="0" w:color="auto"/>
        <w:right w:val="none" w:sz="0" w:space="0" w:color="auto"/>
      </w:divBdr>
    </w:div>
    <w:div w:id="613942760">
      <w:bodyDiv w:val="1"/>
      <w:marLeft w:val="0"/>
      <w:marRight w:val="0"/>
      <w:marTop w:val="0"/>
      <w:marBottom w:val="0"/>
      <w:divBdr>
        <w:top w:val="none" w:sz="0" w:space="0" w:color="auto"/>
        <w:left w:val="none" w:sz="0" w:space="0" w:color="auto"/>
        <w:bottom w:val="none" w:sz="0" w:space="0" w:color="auto"/>
        <w:right w:val="none" w:sz="0" w:space="0" w:color="auto"/>
      </w:divBdr>
    </w:div>
    <w:div w:id="623271313">
      <w:bodyDiv w:val="1"/>
      <w:marLeft w:val="0"/>
      <w:marRight w:val="0"/>
      <w:marTop w:val="0"/>
      <w:marBottom w:val="0"/>
      <w:divBdr>
        <w:top w:val="none" w:sz="0" w:space="0" w:color="auto"/>
        <w:left w:val="none" w:sz="0" w:space="0" w:color="auto"/>
        <w:bottom w:val="none" w:sz="0" w:space="0" w:color="auto"/>
        <w:right w:val="none" w:sz="0" w:space="0" w:color="auto"/>
      </w:divBdr>
    </w:div>
    <w:div w:id="673193746">
      <w:bodyDiv w:val="1"/>
      <w:marLeft w:val="0"/>
      <w:marRight w:val="0"/>
      <w:marTop w:val="0"/>
      <w:marBottom w:val="0"/>
      <w:divBdr>
        <w:top w:val="none" w:sz="0" w:space="0" w:color="auto"/>
        <w:left w:val="none" w:sz="0" w:space="0" w:color="auto"/>
        <w:bottom w:val="none" w:sz="0" w:space="0" w:color="auto"/>
        <w:right w:val="none" w:sz="0" w:space="0" w:color="auto"/>
      </w:divBdr>
    </w:div>
    <w:div w:id="793643248">
      <w:bodyDiv w:val="1"/>
      <w:marLeft w:val="0"/>
      <w:marRight w:val="0"/>
      <w:marTop w:val="0"/>
      <w:marBottom w:val="0"/>
      <w:divBdr>
        <w:top w:val="none" w:sz="0" w:space="0" w:color="auto"/>
        <w:left w:val="none" w:sz="0" w:space="0" w:color="auto"/>
        <w:bottom w:val="none" w:sz="0" w:space="0" w:color="auto"/>
        <w:right w:val="none" w:sz="0" w:space="0" w:color="auto"/>
      </w:divBdr>
    </w:div>
    <w:div w:id="843936479">
      <w:bodyDiv w:val="1"/>
      <w:marLeft w:val="0"/>
      <w:marRight w:val="0"/>
      <w:marTop w:val="0"/>
      <w:marBottom w:val="0"/>
      <w:divBdr>
        <w:top w:val="none" w:sz="0" w:space="0" w:color="auto"/>
        <w:left w:val="none" w:sz="0" w:space="0" w:color="auto"/>
        <w:bottom w:val="none" w:sz="0" w:space="0" w:color="auto"/>
        <w:right w:val="none" w:sz="0" w:space="0" w:color="auto"/>
      </w:divBdr>
    </w:div>
    <w:div w:id="859857829">
      <w:bodyDiv w:val="1"/>
      <w:marLeft w:val="0"/>
      <w:marRight w:val="0"/>
      <w:marTop w:val="0"/>
      <w:marBottom w:val="0"/>
      <w:divBdr>
        <w:top w:val="none" w:sz="0" w:space="0" w:color="auto"/>
        <w:left w:val="none" w:sz="0" w:space="0" w:color="auto"/>
        <w:bottom w:val="none" w:sz="0" w:space="0" w:color="auto"/>
        <w:right w:val="none" w:sz="0" w:space="0" w:color="auto"/>
      </w:divBdr>
    </w:div>
    <w:div w:id="892665935">
      <w:bodyDiv w:val="1"/>
      <w:marLeft w:val="0"/>
      <w:marRight w:val="0"/>
      <w:marTop w:val="0"/>
      <w:marBottom w:val="0"/>
      <w:divBdr>
        <w:top w:val="none" w:sz="0" w:space="0" w:color="auto"/>
        <w:left w:val="none" w:sz="0" w:space="0" w:color="auto"/>
        <w:bottom w:val="none" w:sz="0" w:space="0" w:color="auto"/>
        <w:right w:val="none" w:sz="0" w:space="0" w:color="auto"/>
      </w:divBdr>
    </w:div>
    <w:div w:id="950741817">
      <w:bodyDiv w:val="1"/>
      <w:marLeft w:val="0"/>
      <w:marRight w:val="0"/>
      <w:marTop w:val="0"/>
      <w:marBottom w:val="0"/>
      <w:divBdr>
        <w:top w:val="none" w:sz="0" w:space="0" w:color="auto"/>
        <w:left w:val="none" w:sz="0" w:space="0" w:color="auto"/>
        <w:bottom w:val="none" w:sz="0" w:space="0" w:color="auto"/>
        <w:right w:val="none" w:sz="0" w:space="0" w:color="auto"/>
      </w:divBdr>
    </w:div>
    <w:div w:id="976953159">
      <w:bodyDiv w:val="1"/>
      <w:marLeft w:val="0"/>
      <w:marRight w:val="0"/>
      <w:marTop w:val="0"/>
      <w:marBottom w:val="0"/>
      <w:divBdr>
        <w:top w:val="none" w:sz="0" w:space="0" w:color="auto"/>
        <w:left w:val="none" w:sz="0" w:space="0" w:color="auto"/>
        <w:bottom w:val="none" w:sz="0" w:space="0" w:color="auto"/>
        <w:right w:val="none" w:sz="0" w:space="0" w:color="auto"/>
      </w:divBdr>
    </w:div>
    <w:div w:id="1028943854">
      <w:bodyDiv w:val="1"/>
      <w:marLeft w:val="0"/>
      <w:marRight w:val="0"/>
      <w:marTop w:val="0"/>
      <w:marBottom w:val="0"/>
      <w:divBdr>
        <w:top w:val="none" w:sz="0" w:space="0" w:color="auto"/>
        <w:left w:val="none" w:sz="0" w:space="0" w:color="auto"/>
        <w:bottom w:val="none" w:sz="0" w:space="0" w:color="auto"/>
        <w:right w:val="none" w:sz="0" w:space="0" w:color="auto"/>
      </w:divBdr>
    </w:div>
    <w:div w:id="1062096797">
      <w:bodyDiv w:val="1"/>
      <w:marLeft w:val="0"/>
      <w:marRight w:val="0"/>
      <w:marTop w:val="0"/>
      <w:marBottom w:val="0"/>
      <w:divBdr>
        <w:top w:val="none" w:sz="0" w:space="0" w:color="auto"/>
        <w:left w:val="none" w:sz="0" w:space="0" w:color="auto"/>
        <w:bottom w:val="none" w:sz="0" w:space="0" w:color="auto"/>
        <w:right w:val="none" w:sz="0" w:space="0" w:color="auto"/>
      </w:divBdr>
    </w:div>
    <w:div w:id="1081220307">
      <w:bodyDiv w:val="1"/>
      <w:marLeft w:val="0"/>
      <w:marRight w:val="0"/>
      <w:marTop w:val="0"/>
      <w:marBottom w:val="0"/>
      <w:divBdr>
        <w:top w:val="none" w:sz="0" w:space="0" w:color="auto"/>
        <w:left w:val="none" w:sz="0" w:space="0" w:color="auto"/>
        <w:bottom w:val="none" w:sz="0" w:space="0" w:color="auto"/>
        <w:right w:val="none" w:sz="0" w:space="0" w:color="auto"/>
      </w:divBdr>
    </w:div>
    <w:div w:id="1090470442">
      <w:bodyDiv w:val="1"/>
      <w:marLeft w:val="0"/>
      <w:marRight w:val="0"/>
      <w:marTop w:val="0"/>
      <w:marBottom w:val="0"/>
      <w:divBdr>
        <w:top w:val="none" w:sz="0" w:space="0" w:color="auto"/>
        <w:left w:val="none" w:sz="0" w:space="0" w:color="auto"/>
        <w:bottom w:val="none" w:sz="0" w:space="0" w:color="auto"/>
        <w:right w:val="none" w:sz="0" w:space="0" w:color="auto"/>
      </w:divBdr>
    </w:div>
    <w:div w:id="1130173465">
      <w:bodyDiv w:val="1"/>
      <w:marLeft w:val="0"/>
      <w:marRight w:val="0"/>
      <w:marTop w:val="0"/>
      <w:marBottom w:val="0"/>
      <w:divBdr>
        <w:top w:val="none" w:sz="0" w:space="0" w:color="auto"/>
        <w:left w:val="none" w:sz="0" w:space="0" w:color="auto"/>
        <w:bottom w:val="none" w:sz="0" w:space="0" w:color="auto"/>
        <w:right w:val="none" w:sz="0" w:space="0" w:color="auto"/>
      </w:divBdr>
    </w:div>
    <w:div w:id="1188712515">
      <w:bodyDiv w:val="1"/>
      <w:marLeft w:val="0"/>
      <w:marRight w:val="0"/>
      <w:marTop w:val="0"/>
      <w:marBottom w:val="0"/>
      <w:divBdr>
        <w:top w:val="none" w:sz="0" w:space="0" w:color="auto"/>
        <w:left w:val="none" w:sz="0" w:space="0" w:color="auto"/>
        <w:bottom w:val="none" w:sz="0" w:space="0" w:color="auto"/>
        <w:right w:val="none" w:sz="0" w:space="0" w:color="auto"/>
      </w:divBdr>
    </w:div>
    <w:div w:id="1200778607">
      <w:bodyDiv w:val="1"/>
      <w:marLeft w:val="0"/>
      <w:marRight w:val="0"/>
      <w:marTop w:val="0"/>
      <w:marBottom w:val="0"/>
      <w:divBdr>
        <w:top w:val="none" w:sz="0" w:space="0" w:color="auto"/>
        <w:left w:val="none" w:sz="0" w:space="0" w:color="auto"/>
        <w:bottom w:val="none" w:sz="0" w:space="0" w:color="auto"/>
        <w:right w:val="none" w:sz="0" w:space="0" w:color="auto"/>
      </w:divBdr>
    </w:div>
    <w:div w:id="1227647763">
      <w:bodyDiv w:val="1"/>
      <w:marLeft w:val="0"/>
      <w:marRight w:val="0"/>
      <w:marTop w:val="0"/>
      <w:marBottom w:val="0"/>
      <w:divBdr>
        <w:top w:val="none" w:sz="0" w:space="0" w:color="auto"/>
        <w:left w:val="none" w:sz="0" w:space="0" w:color="auto"/>
        <w:bottom w:val="none" w:sz="0" w:space="0" w:color="auto"/>
        <w:right w:val="none" w:sz="0" w:space="0" w:color="auto"/>
      </w:divBdr>
    </w:div>
    <w:div w:id="1286038448">
      <w:bodyDiv w:val="1"/>
      <w:marLeft w:val="0"/>
      <w:marRight w:val="0"/>
      <w:marTop w:val="0"/>
      <w:marBottom w:val="0"/>
      <w:divBdr>
        <w:top w:val="none" w:sz="0" w:space="0" w:color="auto"/>
        <w:left w:val="none" w:sz="0" w:space="0" w:color="auto"/>
        <w:bottom w:val="none" w:sz="0" w:space="0" w:color="auto"/>
        <w:right w:val="none" w:sz="0" w:space="0" w:color="auto"/>
      </w:divBdr>
    </w:div>
    <w:div w:id="1294092456">
      <w:bodyDiv w:val="1"/>
      <w:marLeft w:val="0"/>
      <w:marRight w:val="0"/>
      <w:marTop w:val="0"/>
      <w:marBottom w:val="0"/>
      <w:divBdr>
        <w:top w:val="none" w:sz="0" w:space="0" w:color="auto"/>
        <w:left w:val="none" w:sz="0" w:space="0" w:color="auto"/>
        <w:bottom w:val="none" w:sz="0" w:space="0" w:color="auto"/>
        <w:right w:val="none" w:sz="0" w:space="0" w:color="auto"/>
      </w:divBdr>
    </w:div>
    <w:div w:id="1323198648">
      <w:bodyDiv w:val="1"/>
      <w:marLeft w:val="0"/>
      <w:marRight w:val="0"/>
      <w:marTop w:val="0"/>
      <w:marBottom w:val="0"/>
      <w:divBdr>
        <w:top w:val="none" w:sz="0" w:space="0" w:color="auto"/>
        <w:left w:val="none" w:sz="0" w:space="0" w:color="auto"/>
        <w:bottom w:val="none" w:sz="0" w:space="0" w:color="auto"/>
        <w:right w:val="none" w:sz="0" w:space="0" w:color="auto"/>
      </w:divBdr>
    </w:div>
    <w:div w:id="1356494080">
      <w:bodyDiv w:val="1"/>
      <w:marLeft w:val="0"/>
      <w:marRight w:val="0"/>
      <w:marTop w:val="0"/>
      <w:marBottom w:val="0"/>
      <w:divBdr>
        <w:top w:val="none" w:sz="0" w:space="0" w:color="auto"/>
        <w:left w:val="none" w:sz="0" w:space="0" w:color="auto"/>
        <w:bottom w:val="none" w:sz="0" w:space="0" w:color="auto"/>
        <w:right w:val="none" w:sz="0" w:space="0" w:color="auto"/>
      </w:divBdr>
    </w:div>
    <w:div w:id="1361736618">
      <w:bodyDiv w:val="1"/>
      <w:marLeft w:val="0"/>
      <w:marRight w:val="0"/>
      <w:marTop w:val="0"/>
      <w:marBottom w:val="0"/>
      <w:divBdr>
        <w:top w:val="none" w:sz="0" w:space="0" w:color="auto"/>
        <w:left w:val="none" w:sz="0" w:space="0" w:color="auto"/>
        <w:bottom w:val="none" w:sz="0" w:space="0" w:color="auto"/>
        <w:right w:val="none" w:sz="0" w:space="0" w:color="auto"/>
      </w:divBdr>
      <w:divsChild>
        <w:div w:id="282854546">
          <w:marLeft w:val="0"/>
          <w:marRight w:val="0"/>
          <w:marTop w:val="0"/>
          <w:marBottom w:val="0"/>
          <w:divBdr>
            <w:top w:val="none" w:sz="0" w:space="0" w:color="auto"/>
            <w:left w:val="none" w:sz="0" w:space="0" w:color="auto"/>
            <w:bottom w:val="none" w:sz="0" w:space="0" w:color="auto"/>
            <w:right w:val="none" w:sz="0" w:space="0" w:color="auto"/>
          </w:divBdr>
          <w:divsChild>
            <w:div w:id="1958943913">
              <w:marLeft w:val="0"/>
              <w:marRight w:val="0"/>
              <w:marTop w:val="0"/>
              <w:marBottom w:val="0"/>
              <w:divBdr>
                <w:top w:val="none" w:sz="0" w:space="0" w:color="auto"/>
                <w:left w:val="none" w:sz="0" w:space="0" w:color="auto"/>
                <w:bottom w:val="none" w:sz="0" w:space="0" w:color="auto"/>
                <w:right w:val="none" w:sz="0" w:space="0" w:color="auto"/>
              </w:divBdr>
              <w:divsChild>
                <w:div w:id="1163013256">
                  <w:marLeft w:val="0"/>
                  <w:marRight w:val="0"/>
                  <w:marTop w:val="510"/>
                  <w:marBottom w:val="0"/>
                  <w:divBdr>
                    <w:top w:val="none" w:sz="0" w:space="0" w:color="auto"/>
                    <w:left w:val="none" w:sz="0" w:space="0" w:color="auto"/>
                    <w:bottom w:val="none" w:sz="0" w:space="0" w:color="auto"/>
                    <w:right w:val="none" w:sz="0" w:space="0" w:color="auto"/>
                  </w:divBdr>
                  <w:divsChild>
                    <w:div w:id="10169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697184">
      <w:bodyDiv w:val="1"/>
      <w:marLeft w:val="0"/>
      <w:marRight w:val="0"/>
      <w:marTop w:val="0"/>
      <w:marBottom w:val="0"/>
      <w:divBdr>
        <w:top w:val="none" w:sz="0" w:space="0" w:color="auto"/>
        <w:left w:val="none" w:sz="0" w:space="0" w:color="auto"/>
        <w:bottom w:val="none" w:sz="0" w:space="0" w:color="auto"/>
        <w:right w:val="none" w:sz="0" w:space="0" w:color="auto"/>
      </w:divBdr>
    </w:div>
    <w:div w:id="1448164264">
      <w:bodyDiv w:val="1"/>
      <w:marLeft w:val="0"/>
      <w:marRight w:val="0"/>
      <w:marTop w:val="0"/>
      <w:marBottom w:val="0"/>
      <w:divBdr>
        <w:top w:val="none" w:sz="0" w:space="0" w:color="auto"/>
        <w:left w:val="none" w:sz="0" w:space="0" w:color="auto"/>
        <w:bottom w:val="none" w:sz="0" w:space="0" w:color="auto"/>
        <w:right w:val="none" w:sz="0" w:space="0" w:color="auto"/>
      </w:divBdr>
    </w:div>
    <w:div w:id="1473057103">
      <w:bodyDiv w:val="1"/>
      <w:marLeft w:val="0"/>
      <w:marRight w:val="0"/>
      <w:marTop w:val="0"/>
      <w:marBottom w:val="0"/>
      <w:divBdr>
        <w:top w:val="none" w:sz="0" w:space="0" w:color="auto"/>
        <w:left w:val="none" w:sz="0" w:space="0" w:color="auto"/>
        <w:bottom w:val="none" w:sz="0" w:space="0" w:color="auto"/>
        <w:right w:val="none" w:sz="0" w:space="0" w:color="auto"/>
      </w:divBdr>
    </w:div>
    <w:div w:id="1558858728">
      <w:bodyDiv w:val="1"/>
      <w:marLeft w:val="0"/>
      <w:marRight w:val="0"/>
      <w:marTop w:val="0"/>
      <w:marBottom w:val="0"/>
      <w:divBdr>
        <w:top w:val="none" w:sz="0" w:space="0" w:color="auto"/>
        <w:left w:val="none" w:sz="0" w:space="0" w:color="auto"/>
        <w:bottom w:val="none" w:sz="0" w:space="0" w:color="auto"/>
        <w:right w:val="none" w:sz="0" w:space="0" w:color="auto"/>
      </w:divBdr>
    </w:div>
    <w:div w:id="1564828834">
      <w:bodyDiv w:val="1"/>
      <w:marLeft w:val="0"/>
      <w:marRight w:val="0"/>
      <w:marTop w:val="0"/>
      <w:marBottom w:val="0"/>
      <w:divBdr>
        <w:top w:val="none" w:sz="0" w:space="0" w:color="auto"/>
        <w:left w:val="none" w:sz="0" w:space="0" w:color="auto"/>
        <w:bottom w:val="none" w:sz="0" w:space="0" w:color="auto"/>
        <w:right w:val="none" w:sz="0" w:space="0" w:color="auto"/>
      </w:divBdr>
    </w:div>
    <w:div w:id="1566640476">
      <w:bodyDiv w:val="1"/>
      <w:marLeft w:val="0"/>
      <w:marRight w:val="0"/>
      <w:marTop w:val="0"/>
      <w:marBottom w:val="0"/>
      <w:divBdr>
        <w:top w:val="none" w:sz="0" w:space="0" w:color="auto"/>
        <w:left w:val="none" w:sz="0" w:space="0" w:color="auto"/>
        <w:bottom w:val="none" w:sz="0" w:space="0" w:color="auto"/>
        <w:right w:val="none" w:sz="0" w:space="0" w:color="auto"/>
      </w:divBdr>
    </w:div>
    <w:div w:id="1567715793">
      <w:bodyDiv w:val="1"/>
      <w:marLeft w:val="0"/>
      <w:marRight w:val="0"/>
      <w:marTop w:val="0"/>
      <w:marBottom w:val="0"/>
      <w:divBdr>
        <w:top w:val="none" w:sz="0" w:space="0" w:color="auto"/>
        <w:left w:val="none" w:sz="0" w:space="0" w:color="auto"/>
        <w:bottom w:val="none" w:sz="0" w:space="0" w:color="auto"/>
        <w:right w:val="none" w:sz="0" w:space="0" w:color="auto"/>
      </w:divBdr>
    </w:div>
    <w:div w:id="1569878925">
      <w:bodyDiv w:val="1"/>
      <w:marLeft w:val="0"/>
      <w:marRight w:val="0"/>
      <w:marTop w:val="0"/>
      <w:marBottom w:val="0"/>
      <w:divBdr>
        <w:top w:val="none" w:sz="0" w:space="0" w:color="auto"/>
        <w:left w:val="none" w:sz="0" w:space="0" w:color="auto"/>
        <w:bottom w:val="none" w:sz="0" w:space="0" w:color="auto"/>
        <w:right w:val="none" w:sz="0" w:space="0" w:color="auto"/>
      </w:divBdr>
    </w:div>
    <w:div w:id="1607156444">
      <w:bodyDiv w:val="1"/>
      <w:marLeft w:val="0"/>
      <w:marRight w:val="0"/>
      <w:marTop w:val="0"/>
      <w:marBottom w:val="0"/>
      <w:divBdr>
        <w:top w:val="none" w:sz="0" w:space="0" w:color="auto"/>
        <w:left w:val="none" w:sz="0" w:space="0" w:color="auto"/>
        <w:bottom w:val="none" w:sz="0" w:space="0" w:color="auto"/>
        <w:right w:val="none" w:sz="0" w:space="0" w:color="auto"/>
      </w:divBdr>
    </w:div>
    <w:div w:id="1627855841">
      <w:bodyDiv w:val="1"/>
      <w:marLeft w:val="0"/>
      <w:marRight w:val="0"/>
      <w:marTop w:val="0"/>
      <w:marBottom w:val="0"/>
      <w:divBdr>
        <w:top w:val="none" w:sz="0" w:space="0" w:color="auto"/>
        <w:left w:val="none" w:sz="0" w:space="0" w:color="auto"/>
        <w:bottom w:val="none" w:sz="0" w:space="0" w:color="auto"/>
        <w:right w:val="none" w:sz="0" w:space="0" w:color="auto"/>
      </w:divBdr>
    </w:div>
    <w:div w:id="1646203475">
      <w:bodyDiv w:val="1"/>
      <w:marLeft w:val="0"/>
      <w:marRight w:val="0"/>
      <w:marTop w:val="0"/>
      <w:marBottom w:val="0"/>
      <w:divBdr>
        <w:top w:val="none" w:sz="0" w:space="0" w:color="auto"/>
        <w:left w:val="none" w:sz="0" w:space="0" w:color="auto"/>
        <w:bottom w:val="none" w:sz="0" w:space="0" w:color="auto"/>
        <w:right w:val="none" w:sz="0" w:space="0" w:color="auto"/>
      </w:divBdr>
    </w:div>
    <w:div w:id="1662124682">
      <w:bodyDiv w:val="1"/>
      <w:marLeft w:val="0"/>
      <w:marRight w:val="0"/>
      <w:marTop w:val="0"/>
      <w:marBottom w:val="0"/>
      <w:divBdr>
        <w:top w:val="none" w:sz="0" w:space="0" w:color="auto"/>
        <w:left w:val="none" w:sz="0" w:space="0" w:color="auto"/>
        <w:bottom w:val="none" w:sz="0" w:space="0" w:color="auto"/>
        <w:right w:val="none" w:sz="0" w:space="0" w:color="auto"/>
      </w:divBdr>
    </w:div>
    <w:div w:id="1683435520">
      <w:bodyDiv w:val="1"/>
      <w:marLeft w:val="0"/>
      <w:marRight w:val="0"/>
      <w:marTop w:val="0"/>
      <w:marBottom w:val="0"/>
      <w:divBdr>
        <w:top w:val="none" w:sz="0" w:space="0" w:color="auto"/>
        <w:left w:val="none" w:sz="0" w:space="0" w:color="auto"/>
        <w:bottom w:val="none" w:sz="0" w:space="0" w:color="auto"/>
        <w:right w:val="none" w:sz="0" w:space="0" w:color="auto"/>
      </w:divBdr>
    </w:div>
    <w:div w:id="1702050225">
      <w:bodyDiv w:val="1"/>
      <w:marLeft w:val="0"/>
      <w:marRight w:val="0"/>
      <w:marTop w:val="0"/>
      <w:marBottom w:val="0"/>
      <w:divBdr>
        <w:top w:val="none" w:sz="0" w:space="0" w:color="auto"/>
        <w:left w:val="none" w:sz="0" w:space="0" w:color="auto"/>
        <w:bottom w:val="none" w:sz="0" w:space="0" w:color="auto"/>
        <w:right w:val="none" w:sz="0" w:space="0" w:color="auto"/>
      </w:divBdr>
    </w:div>
    <w:div w:id="1737432023">
      <w:bodyDiv w:val="1"/>
      <w:marLeft w:val="0"/>
      <w:marRight w:val="0"/>
      <w:marTop w:val="0"/>
      <w:marBottom w:val="0"/>
      <w:divBdr>
        <w:top w:val="none" w:sz="0" w:space="0" w:color="auto"/>
        <w:left w:val="none" w:sz="0" w:space="0" w:color="auto"/>
        <w:bottom w:val="none" w:sz="0" w:space="0" w:color="auto"/>
        <w:right w:val="none" w:sz="0" w:space="0" w:color="auto"/>
      </w:divBdr>
    </w:div>
    <w:div w:id="1762215568">
      <w:bodyDiv w:val="1"/>
      <w:marLeft w:val="0"/>
      <w:marRight w:val="0"/>
      <w:marTop w:val="0"/>
      <w:marBottom w:val="0"/>
      <w:divBdr>
        <w:top w:val="none" w:sz="0" w:space="0" w:color="auto"/>
        <w:left w:val="none" w:sz="0" w:space="0" w:color="auto"/>
        <w:bottom w:val="none" w:sz="0" w:space="0" w:color="auto"/>
        <w:right w:val="none" w:sz="0" w:space="0" w:color="auto"/>
      </w:divBdr>
    </w:div>
    <w:div w:id="1802529051">
      <w:bodyDiv w:val="1"/>
      <w:marLeft w:val="0"/>
      <w:marRight w:val="0"/>
      <w:marTop w:val="0"/>
      <w:marBottom w:val="0"/>
      <w:divBdr>
        <w:top w:val="none" w:sz="0" w:space="0" w:color="auto"/>
        <w:left w:val="none" w:sz="0" w:space="0" w:color="auto"/>
        <w:bottom w:val="none" w:sz="0" w:space="0" w:color="auto"/>
        <w:right w:val="none" w:sz="0" w:space="0" w:color="auto"/>
      </w:divBdr>
    </w:div>
    <w:div w:id="1838575921">
      <w:bodyDiv w:val="1"/>
      <w:marLeft w:val="0"/>
      <w:marRight w:val="0"/>
      <w:marTop w:val="0"/>
      <w:marBottom w:val="0"/>
      <w:divBdr>
        <w:top w:val="none" w:sz="0" w:space="0" w:color="auto"/>
        <w:left w:val="none" w:sz="0" w:space="0" w:color="auto"/>
        <w:bottom w:val="none" w:sz="0" w:space="0" w:color="auto"/>
        <w:right w:val="none" w:sz="0" w:space="0" w:color="auto"/>
      </w:divBdr>
    </w:div>
    <w:div w:id="1867983475">
      <w:bodyDiv w:val="1"/>
      <w:marLeft w:val="0"/>
      <w:marRight w:val="0"/>
      <w:marTop w:val="0"/>
      <w:marBottom w:val="0"/>
      <w:divBdr>
        <w:top w:val="none" w:sz="0" w:space="0" w:color="auto"/>
        <w:left w:val="none" w:sz="0" w:space="0" w:color="auto"/>
        <w:bottom w:val="none" w:sz="0" w:space="0" w:color="auto"/>
        <w:right w:val="none" w:sz="0" w:space="0" w:color="auto"/>
      </w:divBdr>
    </w:div>
    <w:div w:id="1868327835">
      <w:bodyDiv w:val="1"/>
      <w:marLeft w:val="0"/>
      <w:marRight w:val="0"/>
      <w:marTop w:val="0"/>
      <w:marBottom w:val="0"/>
      <w:divBdr>
        <w:top w:val="none" w:sz="0" w:space="0" w:color="auto"/>
        <w:left w:val="none" w:sz="0" w:space="0" w:color="auto"/>
        <w:bottom w:val="none" w:sz="0" w:space="0" w:color="auto"/>
        <w:right w:val="none" w:sz="0" w:space="0" w:color="auto"/>
      </w:divBdr>
    </w:div>
    <w:div w:id="1868374203">
      <w:bodyDiv w:val="1"/>
      <w:marLeft w:val="0"/>
      <w:marRight w:val="0"/>
      <w:marTop w:val="0"/>
      <w:marBottom w:val="0"/>
      <w:divBdr>
        <w:top w:val="none" w:sz="0" w:space="0" w:color="auto"/>
        <w:left w:val="none" w:sz="0" w:space="0" w:color="auto"/>
        <w:bottom w:val="none" w:sz="0" w:space="0" w:color="auto"/>
        <w:right w:val="none" w:sz="0" w:space="0" w:color="auto"/>
      </w:divBdr>
    </w:div>
    <w:div w:id="1880513981">
      <w:bodyDiv w:val="1"/>
      <w:marLeft w:val="0"/>
      <w:marRight w:val="0"/>
      <w:marTop w:val="0"/>
      <w:marBottom w:val="0"/>
      <w:divBdr>
        <w:top w:val="none" w:sz="0" w:space="0" w:color="auto"/>
        <w:left w:val="none" w:sz="0" w:space="0" w:color="auto"/>
        <w:bottom w:val="none" w:sz="0" w:space="0" w:color="auto"/>
        <w:right w:val="none" w:sz="0" w:space="0" w:color="auto"/>
      </w:divBdr>
    </w:div>
    <w:div w:id="1883204913">
      <w:bodyDiv w:val="1"/>
      <w:marLeft w:val="0"/>
      <w:marRight w:val="0"/>
      <w:marTop w:val="0"/>
      <w:marBottom w:val="0"/>
      <w:divBdr>
        <w:top w:val="none" w:sz="0" w:space="0" w:color="auto"/>
        <w:left w:val="none" w:sz="0" w:space="0" w:color="auto"/>
        <w:bottom w:val="none" w:sz="0" w:space="0" w:color="auto"/>
        <w:right w:val="none" w:sz="0" w:space="0" w:color="auto"/>
      </w:divBdr>
    </w:div>
    <w:div w:id="1896962569">
      <w:bodyDiv w:val="1"/>
      <w:marLeft w:val="0"/>
      <w:marRight w:val="0"/>
      <w:marTop w:val="0"/>
      <w:marBottom w:val="0"/>
      <w:divBdr>
        <w:top w:val="none" w:sz="0" w:space="0" w:color="auto"/>
        <w:left w:val="none" w:sz="0" w:space="0" w:color="auto"/>
        <w:bottom w:val="none" w:sz="0" w:space="0" w:color="auto"/>
        <w:right w:val="none" w:sz="0" w:space="0" w:color="auto"/>
      </w:divBdr>
    </w:div>
    <w:div w:id="1914508168">
      <w:bodyDiv w:val="1"/>
      <w:marLeft w:val="0"/>
      <w:marRight w:val="0"/>
      <w:marTop w:val="0"/>
      <w:marBottom w:val="0"/>
      <w:divBdr>
        <w:top w:val="none" w:sz="0" w:space="0" w:color="auto"/>
        <w:left w:val="none" w:sz="0" w:space="0" w:color="auto"/>
        <w:bottom w:val="none" w:sz="0" w:space="0" w:color="auto"/>
        <w:right w:val="none" w:sz="0" w:space="0" w:color="auto"/>
      </w:divBdr>
    </w:div>
    <w:div w:id="1935746101">
      <w:bodyDiv w:val="1"/>
      <w:marLeft w:val="0"/>
      <w:marRight w:val="0"/>
      <w:marTop w:val="0"/>
      <w:marBottom w:val="0"/>
      <w:divBdr>
        <w:top w:val="none" w:sz="0" w:space="0" w:color="auto"/>
        <w:left w:val="none" w:sz="0" w:space="0" w:color="auto"/>
        <w:bottom w:val="none" w:sz="0" w:space="0" w:color="auto"/>
        <w:right w:val="none" w:sz="0" w:space="0" w:color="auto"/>
      </w:divBdr>
    </w:div>
    <w:div w:id="1960525362">
      <w:bodyDiv w:val="1"/>
      <w:marLeft w:val="0"/>
      <w:marRight w:val="0"/>
      <w:marTop w:val="0"/>
      <w:marBottom w:val="0"/>
      <w:divBdr>
        <w:top w:val="none" w:sz="0" w:space="0" w:color="auto"/>
        <w:left w:val="none" w:sz="0" w:space="0" w:color="auto"/>
        <w:bottom w:val="none" w:sz="0" w:space="0" w:color="auto"/>
        <w:right w:val="none" w:sz="0" w:space="0" w:color="auto"/>
      </w:divBdr>
    </w:div>
    <w:div w:id="1967081248">
      <w:bodyDiv w:val="1"/>
      <w:marLeft w:val="0"/>
      <w:marRight w:val="0"/>
      <w:marTop w:val="0"/>
      <w:marBottom w:val="0"/>
      <w:divBdr>
        <w:top w:val="none" w:sz="0" w:space="0" w:color="auto"/>
        <w:left w:val="none" w:sz="0" w:space="0" w:color="auto"/>
        <w:bottom w:val="none" w:sz="0" w:space="0" w:color="auto"/>
        <w:right w:val="none" w:sz="0" w:space="0" w:color="auto"/>
      </w:divBdr>
    </w:div>
    <w:div w:id="1971205022">
      <w:bodyDiv w:val="1"/>
      <w:marLeft w:val="0"/>
      <w:marRight w:val="0"/>
      <w:marTop w:val="0"/>
      <w:marBottom w:val="0"/>
      <w:divBdr>
        <w:top w:val="none" w:sz="0" w:space="0" w:color="auto"/>
        <w:left w:val="none" w:sz="0" w:space="0" w:color="auto"/>
        <w:bottom w:val="none" w:sz="0" w:space="0" w:color="auto"/>
        <w:right w:val="none" w:sz="0" w:space="0" w:color="auto"/>
      </w:divBdr>
    </w:div>
    <w:div w:id="203911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numbering" Target="numbering.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microsoft.com/office/2011/relationships/people" Target="people.xml"/><Relationship Id="rId10" Type="http://schemas.openxmlformats.org/officeDocument/2006/relationships/image" Target="media/image1.png"/><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footer" Target="footer1.xml"/><Relationship Id="rId4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Studeni 2015.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44CE53-5D16-4075-846E-C3542BCE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49</Pages>
  <Words>18787</Words>
  <Characters>107086</Characters>
  <Application>Microsoft Office Word</Application>
  <DocSecurity>0</DocSecurity>
  <Lines>892</Lines>
  <Paragraphs>251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SMJERNICE ZA USPOSTAVU STANDARDNIH MATERIJALNIH TROŠKOVA KOD PRORAČUNSKIH I IZVANPRORAČUNSKIH KORISNIKA DRŽAVNOG PRORAČUNA</vt:lpstr>
      <vt:lpstr/>
    </vt:vector>
  </TitlesOfParts>
  <Company>MZOŠ</Company>
  <LinksUpToDate>false</LinksUpToDate>
  <CharactersWithSpaces>125622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SMJERNICE ZA USPOSTAVU STANDARDNIH MATERIJALNIH TROŠKOVA KOD PRORAČUNSKIH I IZVANPRORAČUNSKIH KORISNIKA DRŽAVNOG PRORAČUNA</dc:title>
  <dc:subject>MINISTARSTVO FINANCIJA</dc:subject>
  <dc:creator>%username%</dc:creator>
  <cp:lastModifiedBy>mfkor</cp:lastModifiedBy>
  <cp:revision>40</cp:revision>
  <cp:lastPrinted>2015-11-30T12:57:00Z</cp:lastPrinted>
  <dcterms:created xsi:type="dcterms:W3CDTF">2015-11-26T10:36:00Z</dcterms:created>
  <dcterms:modified xsi:type="dcterms:W3CDTF">2015-12-02T14:25:00Z</dcterms:modified>
</cp:coreProperties>
</file>